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after="180"/>
        <w:ind w:left="1980" w:hanging="1980"/>
        <w:rPr>
          <w:rFonts w:hint="eastAsia" w:ascii="Arial" w:hAnsi="Arial" w:cs="Arial"/>
          <w:b/>
          <w:sz w:val="24"/>
          <w:szCs w:val="24"/>
          <w:highlight w:val="none"/>
        </w:rPr>
      </w:pPr>
      <w:r>
        <w:rPr>
          <w:rFonts w:hint="eastAsia" w:ascii="Arial" w:hAnsi="Arial" w:cs="Arial"/>
          <w:b/>
          <w:sz w:val="24"/>
          <w:szCs w:val="24"/>
          <w:highlight w:val="none"/>
        </w:rPr>
        <w:t xml:space="preserve">3GPP TSG-RAN WG4 Meeting # 107                               </w:t>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rPr>
        <w:t>R4-230</w:t>
      </w:r>
      <w:r>
        <w:rPr>
          <w:rFonts w:hint="eastAsia" w:ascii="Arial" w:hAnsi="Arial" w:cs="Arial"/>
          <w:b/>
          <w:sz w:val="24"/>
          <w:szCs w:val="24"/>
          <w:highlight w:val="none"/>
          <w:lang w:val="en-US" w:eastAsia="zh-CN"/>
        </w:rPr>
        <w:t>8586</w:t>
      </w:r>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cs="Arial"/>
          <w:b/>
          <w:sz w:val="24"/>
          <w:szCs w:val="24"/>
          <w:highlight w:val="none"/>
        </w:rPr>
        <w:t>Incheon, KR, May 22 – May 26, 2023</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Batang"/>
          <w:b/>
          <w:lang w:val="en-US" w:eastAsia="zh-CN"/>
        </w:rPr>
        <w:t>7.32.3</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bookmarkStart w:id="0" w:name="OLE_LINK3"/>
      <w:r>
        <w:rPr>
          <w:rFonts w:hint="eastAsia" w:ascii="Arial" w:hAnsi="Arial" w:eastAsia="宋体" w:cs="Arial"/>
          <w:b/>
          <w:sz w:val="24"/>
          <w:szCs w:val="24"/>
          <w:highlight w:val="none"/>
          <w:lang w:val="en-US" w:eastAsia="zh-CN"/>
        </w:rPr>
        <w:t xml:space="preserve">Discussion on </w:t>
      </w:r>
      <w:r>
        <w:rPr>
          <w:rFonts w:hint="eastAsia" w:ascii="Arial" w:hAnsi="Arial" w:cs="Arial"/>
          <w:b/>
          <w:sz w:val="24"/>
          <w:szCs w:val="24"/>
          <w:highlight w:val="none"/>
          <w:lang w:val="en-US" w:eastAsia="zh-CN"/>
        </w:rPr>
        <w:t>UE</w:t>
      </w:r>
      <w:r>
        <w:rPr>
          <w:rFonts w:hint="eastAsia" w:ascii="Arial" w:hAnsi="Arial" w:eastAsia="宋体" w:cs="Arial"/>
          <w:b/>
          <w:sz w:val="24"/>
          <w:szCs w:val="24"/>
          <w:highlight w:val="none"/>
          <w:lang w:val="en-US" w:eastAsia="zh-CN"/>
        </w:rPr>
        <w:t xml:space="preserve"> RF requirements for the satellite L-/S-band</w:t>
      </w:r>
      <w:bookmarkEnd w:id="0"/>
      <w:r>
        <w:rPr>
          <w:rFonts w:hint="eastAsia" w:ascii="Arial" w:hAnsi="Arial" w:cs="Arial"/>
          <w:b/>
          <w:sz w:val="24"/>
          <w:szCs w:val="24"/>
          <w:highlight w:val="none"/>
          <w:lang w:val="en-US" w:eastAsia="zh-CN"/>
        </w:rPr>
        <w:t xml:space="preserve"> </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1" w:name="DocumentFor"/>
      <w:bookmarkEnd w:id="1"/>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bookmarkStart w:id="9" w:name="_GoBack"/>
      <w:bookmarkEnd w:id="9"/>
    </w:p>
    <w:p>
      <w:pPr>
        <w:pStyle w:val="56"/>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RAN#98e meeting, the work item [</w:t>
      </w:r>
      <w:r>
        <w:rPr>
          <w:rFonts w:hint="eastAsia" w:ascii="Times New Roman" w:hAnsi="Times New Roman" w:eastAsia="宋体" w:cs="Times New Roman"/>
          <w:sz w:val="20"/>
          <w:szCs w:val="20"/>
          <w:highlight w:val="none"/>
          <w:lang w:val="en-US" w:eastAsia="zh-CN"/>
        </w:rPr>
        <w:t>RP-223485</w:t>
      </w:r>
      <w:r>
        <w:rPr>
          <w:rFonts w:hint="eastAsia" w:cs="Times New Roman"/>
          <w:kern w:val="2"/>
          <w:sz w:val="21"/>
          <w:szCs w:val="22"/>
          <w:highlight w:val="none"/>
          <w:lang w:val="en-US" w:eastAsia="zh-CN" w:bidi="ar-SA"/>
        </w:rPr>
        <w:t>] on Introduction of the satellite L-/S-band was approved. Part of the objective is as follows:</w:t>
      </w:r>
    </w:p>
    <w:p>
      <w:pPr>
        <w:pStyle w:val="51"/>
      </w:pPr>
      <w:r>
        <w:t>-</w:t>
      </w:r>
      <w:r>
        <w:tab/>
      </w:r>
      <w:r>
        <w:t>Specify a new NTN FDD band with a UE transmitting at 1610-1626.5MHz and SAN transmitting at 2483.5-2500MHz;</w:t>
      </w:r>
    </w:p>
    <w:p>
      <w:pPr>
        <w:pStyle w:val="51"/>
      </w:pPr>
      <w:r>
        <w:t>-</w:t>
      </w:r>
      <w:r>
        <w:tab/>
      </w:r>
      <w:r>
        <w:t>Support channel bandwidths and SCS as presented in Table 4.1-1 below;</w:t>
      </w:r>
    </w:p>
    <w:p>
      <w:pPr>
        <w:pStyle w:val="51"/>
      </w:pPr>
      <w:r>
        <w:t>-</w:t>
      </w:r>
      <w:r>
        <w:tab/>
      </w:r>
      <w:bookmarkStart w:id="2" w:name="OLE_LINK1"/>
      <w:r>
        <w:t>Support channel raster points at step of 100kHz</w:t>
      </w:r>
      <w:bookmarkEnd w:id="2"/>
      <w:r>
        <w:t>;</w:t>
      </w:r>
    </w:p>
    <w:p>
      <w:pPr>
        <w:pStyle w:val="51"/>
      </w:pPr>
      <w:r>
        <w:tab/>
      </w:r>
      <w:r>
        <w:t>NOTE: Support for channel raster points at step of 5kHz can be considered later based on the outcome of the corresponding RAN WG4 for potential channel raster enhancements.</w:t>
      </w:r>
    </w:p>
    <w:p>
      <w:pPr>
        <w:pStyle w:val="51"/>
      </w:pPr>
      <w:r>
        <w:t>-</w:t>
      </w:r>
      <w:r>
        <w:tab/>
      </w:r>
      <w:r>
        <w:t xml:space="preserve">Support UE Power class 3 (+23dBm); </w:t>
      </w:r>
    </w:p>
    <w:p>
      <w:pPr>
        <w:pStyle w:val="51"/>
      </w:pPr>
      <w:r>
        <w:tab/>
      </w:r>
      <w:r>
        <w:t xml:space="preserve">NOTE: Work on UE Power class 2 can commence based on the RAN#99 decision. </w:t>
      </w:r>
    </w:p>
    <w:p>
      <w:pPr>
        <w:pStyle w:val="51"/>
      </w:pPr>
      <w:r>
        <w:t>-</w:t>
      </w:r>
      <w:r>
        <w:tab/>
      </w:r>
      <w:r>
        <w:t>Introduce the corresponding SAN and UE RF core requirements;</w:t>
      </w:r>
    </w:p>
    <w:p>
      <w:pPr>
        <w:pStyle w:val="51"/>
        <w:rPr>
          <w:bCs/>
        </w:rPr>
      </w:pPr>
      <w:r>
        <w:t>-</w:t>
      </w:r>
      <w:r>
        <w:tab/>
      </w:r>
      <w:r>
        <w:t>Introduce the corresponding RRM requirements.</w:t>
      </w:r>
      <w:r>
        <w:tab/>
      </w:r>
    </w:p>
    <w:p>
      <w:pPr>
        <w:pStyle w:val="46"/>
      </w:pPr>
      <w:r>
        <w:t xml:space="preserve">Table 4.1-1: Channel bandwidth and SCS system parameters. </w:t>
      </w:r>
    </w:p>
    <w:tbl>
      <w:tblPr>
        <w:tblStyle w:val="25"/>
        <w:tblW w:w="36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712"/>
        <w:gridCol w:w="705"/>
        <w:gridCol w:w="713"/>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849" w:type="dxa"/>
            <w:shd w:val="clear" w:color="auto" w:fill="auto"/>
            <w:noWrap w:val="0"/>
            <w:vAlign w:val="center"/>
          </w:tcPr>
          <w:p>
            <w:pPr>
              <w:pStyle w:val="36"/>
            </w:pPr>
            <w:r>
              <w:t>SCS</w:t>
            </w:r>
            <w:r>
              <w:rPr>
                <w:rFonts w:hint="eastAsia" w:eastAsia="Yu Mincho"/>
                <w:lang w:eastAsia="zh-CN"/>
              </w:rPr>
              <w:t xml:space="preserve"> </w:t>
            </w:r>
            <w:r>
              <w:rPr>
                <w:rFonts w:eastAsia="Yu Mincho"/>
                <w:lang w:eastAsia="zh-CN"/>
              </w:rPr>
              <w:t>(</w:t>
            </w:r>
            <w:r>
              <w:t>kHz)</w:t>
            </w:r>
          </w:p>
        </w:tc>
        <w:tc>
          <w:tcPr>
            <w:tcW w:w="2839" w:type="dxa"/>
            <w:gridSpan w:val="4"/>
            <w:shd w:val="clear" w:color="auto" w:fill="auto"/>
            <w:noWrap w:val="0"/>
            <w:vAlign w:val="top"/>
          </w:tcPr>
          <w:p>
            <w:pPr>
              <w:pStyle w:val="36"/>
            </w:pPr>
            <w:r>
              <w:t xml:space="preserve">Channel bandwidth </w:t>
            </w:r>
          </w:p>
          <w:p>
            <w:pPr>
              <w:pStyle w:val="36"/>
            </w:pP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9" w:type="dxa"/>
            <w:shd w:val="clear" w:color="auto" w:fill="auto"/>
            <w:noWrap w:val="0"/>
            <w:vAlign w:val="center"/>
          </w:tcPr>
          <w:p>
            <w:pPr>
              <w:pStyle w:val="37"/>
              <w:rPr>
                <w:rFonts w:eastAsia="Yu Mincho"/>
              </w:rPr>
            </w:pPr>
            <w:r>
              <w:t>15</w:t>
            </w:r>
          </w:p>
        </w:tc>
        <w:tc>
          <w:tcPr>
            <w:tcW w:w="712" w:type="dxa"/>
            <w:shd w:val="clear" w:color="auto" w:fill="auto"/>
            <w:noWrap w:val="0"/>
            <w:vAlign w:val="top"/>
          </w:tcPr>
          <w:p>
            <w:pPr>
              <w:pStyle w:val="37"/>
              <w:rPr>
                <w:rFonts w:eastAsia="Yu Mincho"/>
              </w:rPr>
            </w:pPr>
            <w:r>
              <w:t>5</w:t>
            </w:r>
          </w:p>
        </w:tc>
        <w:tc>
          <w:tcPr>
            <w:tcW w:w="705" w:type="dxa"/>
            <w:shd w:val="clear" w:color="auto" w:fill="auto"/>
            <w:noWrap w:val="0"/>
            <w:vAlign w:val="center"/>
          </w:tcPr>
          <w:p>
            <w:pPr>
              <w:pStyle w:val="37"/>
              <w:rPr>
                <w:rFonts w:eastAsia="Yu Mincho"/>
              </w:rPr>
            </w:pPr>
            <w:r>
              <w:t>10</w:t>
            </w:r>
          </w:p>
        </w:tc>
        <w:tc>
          <w:tcPr>
            <w:tcW w:w="713" w:type="dxa"/>
            <w:shd w:val="clear" w:color="auto" w:fill="auto"/>
            <w:noWrap w:val="0"/>
            <w:vAlign w:val="center"/>
          </w:tcPr>
          <w:p>
            <w:pPr>
              <w:pStyle w:val="37"/>
              <w:rPr>
                <w:rFonts w:eastAsia="Yu Mincho"/>
              </w:rPr>
            </w:pPr>
            <w:r>
              <w:t>15</w:t>
            </w:r>
          </w:p>
        </w:tc>
        <w:tc>
          <w:tcPr>
            <w:tcW w:w="709" w:type="dxa"/>
            <w:shd w:val="clear" w:color="auto" w:fill="auto"/>
            <w:noWrap w:val="0"/>
            <w:vAlign w:val="center"/>
          </w:tcPr>
          <w:p>
            <w:pPr>
              <w:pStyle w:val="3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9" w:type="dxa"/>
            <w:shd w:val="clear" w:color="auto" w:fill="auto"/>
            <w:noWrap w:val="0"/>
            <w:vAlign w:val="center"/>
          </w:tcPr>
          <w:p>
            <w:pPr>
              <w:pStyle w:val="37"/>
              <w:rPr>
                <w:rFonts w:eastAsia="Yu Mincho"/>
              </w:rPr>
            </w:pPr>
            <w:r>
              <w:t>30</w:t>
            </w:r>
          </w:p>
        </w:tc>
        <w:tc>
          <w:tcPr>
            <w:tcW w:w="712" w:type="dxa"/>
            <w:shd w:val="clear" w:color="auto" w:fill="auto"/>
            <w:noWrap w:val="0"/>
            <w:vAlign w:val="top"/>
          </w:tcPr>
          <w:p>
            <w:pPr>
              <w:pStyle w:val="37"/>
              <w:rPr>
                <w:rFonts w:eastAsia="Yu Mincho"/>
              </w:rPr>
            </w:pPr>
          </w:p>
        </w:tc>
        <w:tc>
          <w:tcPr>
            <w:tcW w:w="705" w:type="dxa"/>
            <w:shd w:val="clear" w:color="auto" w:fill="auto"/>
            <w:noWrap w:val="0"/>
            <w:vAlign w:val="top"/>
          </w:tcPr>
          <w:p>
            <w:pPr>
              <w:pStyle w:val="37"/>
              <w:rPr>
                <w:rFonts w:eastAsia="Yu Mincho"/>
              </w:rPr>
            </w:pPr>
            <w:r>
              <w:t>10</w:t>
            </w:r>
          </w:p>
        </w:tc>
        <w:tc>
          <w:tcPr>
            <w:tcW w:w="713" w:type="dxa"/>
            <w:shd w:val="clear" w:color="auto" w:fill="auto"/>
            <w:noWrap w:val="0"/>
            <w:vAlign w:val="center"/>
          </w:tcPr>
          <w:p>
            <w:pPr>
              <w:pStyle w:val="37"/>
              <w:rPr>
                <w:rFonts w:eastAsia="Yu Mincho"/>
              </w:rPr>
            </w:pPr>
            <w:r>
              <w:t>15</w:t>
            </w:r>
          </w:p>
        </w:tc>
        <w:tc>
          <w:tcPr>
            <w:tcW w:w="709" w:type="dxa"/>
            <w:shd w:val="clear" w:color="auto" w:fill="auto"/>
            <w:noWrap w:val="0"/>
            <w:vAlign w:val="center"/>
          </w:tcPr>
          <w:p>
            <w:pPr>
              <w:pStyle w:val="3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9" w:type="dxa"/>
            <w:shd w:val="clear" w:color="auto" w:fill="auto"/>
            <w:noWrap w:val="0"/>
            <w:vAlign w:val="center"/>
          </w:tcPr>
          <w:p>
            <w:pPr>
              <w:pStyle w:val="37"/>
            </w:pPr>
            <w:r>
              <w:t>60</w:t>
            </w:r>
          </w:p>
        </w:tc>
        <w:tc>
          <w:tcPr>
            <w:tcW w:w="712" w:type="dxa"/>
            <w:shd w:val="clear" w:color="auto" w:fill="auto"/>
            <w:noWrap w:val="0"/>
            <w:vAlign w:val="top"/>
          </w:tcPr>
          <w:p>
            <w:pPr>
              <w:pStyle w:val="37"/>
              <w:rPr>
                <w:rFonts w:eastAsia="Yu Mincho"/>
              </w:rPr>
            </w:pPr>
          </w:p>
        </w:tc>
        <w:tc>
          <w:tcPr>
            <w:tcW w:w="705" w:type="dxa"/>
            <w:shd w:val="clear" w:color="auto" w:fill="auto"/>
            <w:noWrap w:val="0"/>
            <w:vAlign w:val="top"/>
          </w:tcPr>
          <w:p>
            <w:pPr>
              <w:pStyle w:val="37"/>
            </w:pPr>
            <w:r>
              <w:t>10</w:t>
            </w:r>
          </w:p>
        </w:tc>
        <w:tc>
          <w:tcPr>
            <w:tcW w:w="713" w:type="dxa"/>
            <w:shd w:val="clear" w:color="auto" w:fill="auto"/>
            <w:noWrap w:val="0"/>
            <w:vAlign w:val="center"/>
          </w:tcPr>
          <w:p>
            <w:pPr>
              <w:pStyle w:val="37"/>
            </w:pPr>
            <w:r>
              <w:t>15</w:t>
            </w:r>
          </w:p>
        </w:tc>
        <w:tc>
          <w:tcPr>
            <w:tcW w:w="709" w:type="dxa"/>
            <w:shd w:val="clear" w:color="auto" w:fill="auto"/>
            <w:noWrap w:val="0"/>
            <w:vAlign w:val="center"/>
          </w:tcPr>
          <w:p>
            <w:pPr>
              <w:pStyle w:val="37"/>
              <w:rPr>
                <w:rFonts w:eastAsia="Yu Mincho"/>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lang w:val="en-US"/>
        </w:rPr>
      </w:pPr>
      <w:r>
        <w:rPr>
          <w:rFonts w:hint="eastAsia"/>
          <w:lang w:val="en-US"/>
        </w:rPr>
        <w:t xml:space="preserve">In this contribution, we want </w:t>
      </w:r>
      <w:r>
        <w:rPr>
          <w:rFonts w:hint="eastAsia"/>
          <w:lang w:val="en-US" w:eastAsia="zh-CN"/>
        </w:rPr>
        <w:t xml:space="preserve">to </w:t>
      </w:r>
      <w:r>
        <w:rPr>
          <w:rFonts w:hint="eastAsia"/>
          <w:lang w:val="en-US"/>
        </w:rPr>
        <w:t xml:space="preserve">share some initial views on </w:t>
      </w:r>
      <w:r>
        <w:rPr>
          <w:rFonts w:hint="eastAsia"/>
          <w:lang w:val="en-US" w:eastAsia="zh-CN"/>
        </w:rPr>
        <w:t>UE</w:t>
      </w:r>
      <w:r>
        <w:rPr>
          <w:rFonts w:hint="eastAsia"/>
          <w:lang w:val="en-US"/>
        </w:rPr>
        <w:t xml:space="preserve"> RF requirements</w:t>
      </w:r>
      <w:r>
        <w:rPr>
          <w:rFonts w:hint="eastAsia"/>
          <w:lang w:val="en-US" w:eastAsia="zh-CN"/>
        </w:rPr>
        <w:t xml:space="preserve"> for Introduction of the satellite L-/S-band</w:t>
      </w:r>
      <w:r>
        <w:rPr>
          <w:rFonts w:hint="eastAsia"/>
          <w:lang w:val="en-US"/>
        </w:rPr>
        <w:t xml:space="preserve">. </w:t>
      </w:r>
    </w:p>
    <w:p>
      <w:pPr>
        <w:pStyle w:val="56"/>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3" w:name="OLE_LINK20"/>
      <w:bookmarkStart w:id="4" w:name="OLE_LINK10"/>
      <w:bookmarkStart w:id="5" w:name="OLE_LINK14"/>
      <w:bookmarkStart w:id="6" w:name="OLE_LINK13"/>
      <w:r>
        <w:rPr>
          <w:rFonts w:hint="eastAsia" w:eastAsia="Times New Roman"/>
          <w:highlight w:val="none"/>
          <w:lang w:val="en-US" w:eastAsia="zh-CN"/>
        </w:rPr>
        <w:t xml:space="preserve"> </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lang w:val="en-US" w:eastAsia="zh-CN"/>
        </w:rPr>
      </w:pPr>
      <w:r>
        <w:rPr>
          <w:rFonts w:hint="eastAsia" w:ascii="Arial" w:hAnsi="Arial" w:cs="Arial"/>
          <w:sz w:val="28"/>
          <w:szCs w:val="28"/>
          <w:lang w:val="en-US" w:eastAsia="zh-CN"/>
        </w:rPr>
        <w:t>2.1. Operating bands</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b w:val="0"/>
          <w:bCs w:val="0"/>
          <w:i w:val="0"/>
          <w:iCs w:val="0"/>
          <w:lang w:val="en-US" w:eastAsia="zh-CN"/>
        </w:rPr>
      </w:pPr>
      <w:r>
        <w:rPr>
          <w:rFonts w:hint="eastAsia"/>
          <w:b w:val="0"/>
          <w:bCs w:val="0"/>
          <w:i w:val="0"/>
          <w:iCs w:val="0"/>
          <w:lang w:val="en-US" w:eastAsia="zh-CN"/>
        </w:rPr>
        <w:t>The following agreement has been approved to reserve band n254 for WI NR_NTN_Lsband.</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adjustRightInd/>
              <w:rPr>
                <w:b/>
                <w:highlight w:val="green"/>
                <w:lang w:val="en-US" w:eastAsia="zh-CN"/>
              </w:rPr>
            </w:pPr>
            <w:r>
              <w:rPr>
                <w:b/>
                <w:highlight w:val="green"/>
                <w:lang w:val="en-US" w:eastAsia="zh-CN"/>
              </w:rPr>
              <w:t xml:space="preserve">Agreement: </w:t>
            </w:r>
          </w:p>
          <w:p>
            <w:pPr>
              <w:pStyle w:val="35"/>
              <w:numPr>
                <w:ilvl w:val="0"/>
                <w:numId w:val="2"/>
              </w:numPr>
              <w:spacing w:after="180"/>
              <w:rPr>
                <w:rFonts w:hint="eastAsia"/>
                <w:b w:val="0"/>
                <w:bCs w:val="0"/>
                <w:i w:val="0"/>
                <w:iCs w:val="0"/>
                <w:vertAlign w:val="baseline"/>
                <w:lang w:val="en-US" w:eastAsia="zh-CN"/>
              </w:rPr>
            </w:pPr>
            <w:r>
              <w:rPr>
                <w:highlight w:val="none"/>
              </w:rPr>
              <w:t>n254 is reserved for the band defined for WI NR_NTN_LSband</w:t>
            </w: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b w:val="0"/>
          <w:bCs w:val="0"/>
          <w:i w:val="0"/>
          <w:iCs w:val="0"/>
          <w:lang w:val="en-US" w:eastAsia="zh-CN"/>
        </w:rPr>
      </w:pPr>
      <w:r>
        <w:rPr>
          <w:rFonts w:hint="eastAsia"/>
          <w:b w:val="0"/>
          <w:bCs w:val="0"/>
          <w:i w:val="0"/>
          <w:iCs w:val="0"/>
          <w:lang w:val="en-US" w:eastAsia="zh-CN"/>
        </w:rPr>
        <w:t>According to the regulation of band number that the NTN satellite bands are numbered in descending order from n256, the reserved band number n254 should be applied to the new NTN FDD band with a UE transmitting at 1610-1626.5MHz and SAN transmitting at 2483.5-2500MHz.</w:t>
      </w:r>
    </w:p>
    <w:p>
      <w:pPr>
        <w:pStyle w:val="46"/>
      </w:pPr>
      <w:r>
        <w:t xml:space="preserve">Table </w:t>
      </w:r>
      <w:r>
        <w:rPr>
          <w:rFonts w:hint="eastAsia"/>
          <w:lang w:val="en-US" w:eastAsia="zh-CN"/>
        </w:rPr>
        <w:t>2</w:t>
      </w:r>
      <w:r>
        <w:t>.</w:t>
      </w:r>
      <w:r>
        <w:rPr>
          <w:rFonts w:hint="eastAsia"/>
          <w:lang w:val="en-US" w:eastAsia="zh-CN"/>
        </w:rPr>
        <w:t>1</w:t>
      </w:r>
      <w:r>
        <w:t xml:space="preserve">-1: </w:t>
      </w:r>
      <w:r>
        <w:rPr>
          <w:rFonts w:hint="eastAsia"/>
          <w:lang w:val="en-US" w:eastAsia="zh-CN"/>
        </w:rPr>
        <w:t>NTN satellite bands in FR1</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2607"/>
        <w:gridCol w:w="28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36"/>
            </w:pPr>
            <w:r>
              <w:rPr>
                <w:szCs w:val="18"/>
              </w:rPr>
              <w:t xml:space="preserve">Satellite </w:t>
            </w:r>
            <w:r>
              <w:rPr>
                <w:i/>
              </w:rPr>
              <w:t>operating band</w:t>
            </w:r>
          </w:p>
        </w:tc>
        <w:tc>
          <w:tcPr>
            <w:tcW w:w="2607" w:type="dxa"/>
            <w:shd w:val="clear" w:color="auto" w:fill="auto"/>
          </w:tcPr>
          <w:p>
            <w:pPr>
              <w:pStyle w:val="36"/>
            </w:pPr>
            <w:r>
              <w:t xml:space="preserve">Uplink (UL) </w:t>
            </w:r>
            <w:r>
              <w:rPr>
                <w:i/>
              </w:rPr>
              <w:t>operating band</w:t>
            </w:r>
            <w:r>
              <w:br w:type="textWrapping"/>
            </w:r>
            <w:r>
              <w:rPr>
                <w:rFonts w:hint="eastAsia"/>
                <w:lang w:val="en-US" w:eastAsia="zh-CN"/>
              </w:rPr>
              <w:t>SAN</w:t>
            </w:r>
            <w:r>
              <w:t xml:space="preserve"> receive / UE transmit</w:t>
            </w:r>
          </w:p>
          <w:p>
            <w:pPr>
              <w:pStyle w:val="36"/>
            </w:pPr>
            <w:r>
              <w:t>F</w:t>
            </w:r>
            <w:r>
              <w:rPr>
                <w:vertAlign w:val="subscript"/>
              </w:rPr>
              <w:t>UL,low</w:t>
            </w:r>
            <w:r>
              <w:t xml:space="preserve">   –  F</w:t>
            </w:r>
            <w:r>
              <w:rPr>
                <w:vertAlign w:val="subscript"/>
              </w:rPr>
              <w:t>UL,high</w:t>
            </w:r>
          </w:p>
        </w:tc>
        <w:tc>
          <w:tcPr>
            <w:tcW w:w="2806" w:type="dxa"/>
            <w:shd w:val="clear" w:color="auto" w:fill="auto"/>
          </w:tcPr>
          <w:p>
            <w:pPr>
              <w:pStyle w:val="36"/>
            </w:pPr>
            <w:r>
              <w:t xml:space="preserve">Downlink (DL) </w:t>
            </w:r>
            <w:r>
              <w:rPr>
                <w:i/>
              </w:rPr>
              <w:t>operating band</w:t>
            </w:r>
            <w:r>
              <w:br w:type="textWrapping"/>
            </w:r>
            <w:r>
              <w:rPr>
                <w:rFonts w:hint="eastAsia"/>
                <w:lang w:val="en-US" w:eastAsia="zh-CN"/>
              </w:rPr>
              <w:t>SAN</w:t>
            </w:r>
            <w:r>
              <w:t xml:space="preserve"> transmit / UE receive</w:t>
            </w:r>
          </w:p>
          <w:p>
            <w:pPr>
              <w:pStyle w:val="36"/>
            </w:pPr>
            <w:r>
              <w:t>F</w:t>
            </w:r>
            <w:r>
              <w:rPr>
                <w:vertAlign w:val="subscript"/>
              </w:rPr>
              <w:t>DL,low</w:t>
            </w:r>
            <w:r>
              <w:t xml:space="preserve">   –  F</w:t>
            </w:r>
            <w:r>
              <w:rPr>
                <w:vertAlign w:val="subscript"/>
              </w:rPr>
              <w:t>DL,high</w:t>
            </w:r>
          </w:p>
        </w:tc>
        <w:tc>
          <w:tcPr>
            <w:tcW w:w="1286" w:type="dxa"/>
            <w:shd w:val="clear" w:color="auto" w:fill="auto"/>
          </w:tcPr>
          <w:p>
            <w:pPr>
              <w:pStyle w:val="36"/>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037" w:type="dxa"/>
            <w:shd w:val="clear" w:color="auto" w:fill="auto"/>
          </w:tcPr>
          <w:p>
            <w:pPr>
              <w:pStyle w:val="37"/>
              <w:rPr>
                <w:lang w:val="en-US" w:eastAsia="zh-CN"/>
              </w:rPr>
            </w:pPr>
            <w:r>
              <w:rPr>
                <w:rFonts w:hint="eastAsia"/>
                <w:lang w:val="en-US" w:eastAsia="zh-CN"/>
              </w:rPr>
              <w:t>n254</w:t>
            </w:r>
          </w:p>
        </w:tc>
        <w:tc>
          <w:tcPr>
            <w:tcW w:w="2607" w:type="dxa"/>
            <w:shd w:val="clear" w:color="auto" w:fill="auto"/>
          </w:tcPr>
          <w:p>
            <w:pPr>
              <w:pStyle w:val="37"/>
            </w:pPr>
            <w:r>
              <w:rPr>
                <w:rFonts w:hint="eastAsia"/>
              </w:rPr>
              <w:t>1610</w:t>
            </w:r>
            <w:r>
              <w:rPr>
                <w:rFonts w:hint="eastAsia" w:eastAsia="宋体"/>
                <w:lang w:val="en-US" w:eastAsia="zh-CN"/>
              </w:rPr>
              <w:t xml:space="preserve"> MHz</w:t>
            </w:r>
            <w:r>
              <w:rPr>
                <w:rFonts w:hint="eastAsia"/>
              </w:rPr>
              <w:t xml:space="preserve">-1626.5MHz </w:t>
            </w:r>
          </w:p>
        </w:tc>
        <w:tc>
          <w:tcPr>
            <w:tcW w:w="2806" w:type="dxa"/>
            <w:shd w:val="clear" w:color="auto" w:fill="auto"/>
          </w:tcPr>
          <w:p>
            <w:pPr>
              <w:pStyle w:val="37"/>
            </w:pPr>
            <w:r>
              <w:rPr>
                <w:rFonts w:hint="eastAsia"/>
              </w:rPr>
              <w:t>2483.5</w:t>
            </w:r>
            <w:r>
              <w:rPr>
                <w:rFonts w:hint="eastAsia" w:eastAsia="宋体"/>
                <w:lang w:val="en-US" w:eastAsia="zh-CN"/>
              </w:rPr>
              <w:t>MHz</w:t>
            </w:r>
            <w:r>
              <w:rPr>
                <w:rFonts w:hint="eastAsia"/>
              </w:rPr>
              <w:t>-2500MHz</w:t>
            </w:r>
          </w:p>
        </w:tc>
        <w:tc>
          <w:tcPr>
            <w:tcW w:w="1286" w:type="dxa"/>
            <w:shd w:val="clear" w:color="auto" w:fill="auto"/>
          </w:tcPr>
          <w:p>
            <w:pPr>
              <w:pStyle w:val="3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36" w:type="dxa"/>
            <w:gridSpan w:val="4"/>
            <w:shd w:val="clear" w:color="auto" w:fill="auto"/>
          </w:tcPr>
          <w:p>
            <w:pPr>
              <w:pStyle w:val="49"/>
            </w:pPr>
            <w:r>
              <w:t>NOTE:</w:t>
            </w:r>
            <w:r>
              <w:tab/>
            </w:r>
            <w:r>
              <w:t xml:space="preserve">Satellite </w:t>
            </w:r>
            <w:r>
              <w:rPr>
                <w:rFonts w:hint="eastAsia"/>
              </w:rPr>
              <w:t xml:space="preserve">bands are numbered in </w:t>
            </w:r>
            <w:r>
              <w:t>descending</w:t>
            </w:r>
            <w:r>
              <w:rPr>
                <w:rFonts w:hint="eastAsia"/>
              </w:rPr>
              <w:t xml:space="preserve"> order from n256.</w:t>
            </w: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bCs/>
          <w:i w:val="0"/>
          <w:iCs w:val="0"/>
          <w:lang w:val="en-US" w:eastAsia="zh-CN"/>
        </w:rPr>
        <w:t xml:space="preserve">Proposal 1: </w:t>
      </w:r>
      <w:r>
        <w:rPr>
          <w:rFonts w:hint="eastAsia"/>
          <w:b w:val="0"/>
          <w:bCs w:val="0"/>
          <w:i w:val="0"/>
          <w:iCs w:val="0"/>
          <w:lang w:val="en-US" w:eastAsia="zh-CN"/>
        </w:rPr>
        <w:t>The NTN FDD band</w:t>
      </w:r>
      <w:bookmarkStart w:id="7" w:name="OLE_LINK2"/>
      <w:r>
        <w:rPr>
          <w:rFonts w:hint="eastAsia"/>
          <w:b w:val="0"/>
          <w:bCs w:val="0"/>
          <w:i w:val="0"/>
          <w:iCs w:val="0"/>
          <w:lang w:val="en-US" w:eastAsia="zh-CN"/>
        </w:rPr>
        <w:t xml:space="preserve"> with a UE transmitting at 1610-1626.5MHz and SAN transmitting at 2483.5-2500MHz should</w:t>
      </w:r>
      <w:bookmarkEnd w:id="7"/>
      <w:r>
        <w:rPr>
          <w:rFonts w:hint="eastAsia"/>
          <w:b w:val="0"/>
          <w:bCs w:val="0"/>
          <w:i w:val="0"/>
          <w:iCs w:val="0"/>
          <w:lang w:val="en-US" w:eastAsia="zh-CN"/>
        </w:rPr>
        <w:t xml:space="preserve"> be numbered as Table 2.1-1.</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2.2 Asymmetric channel bandwidths</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val="0"/>
          <w:bCs w:val="0"/>
          <w:i w:val="0"/>
          <w:iCs w:val="0"/>
          <w:lang w:val="en-US" w:eastAsia="zh-CN"/>
        </w:rPr>
        <w:t>The introduction of asymmetric channel bandwidth combinations can reduce the complexity of UE implementation. If the asymmetric channel combinations 5+10MHz, 5+15MHz, and 10+15MHz UL/DL are necessary, we can support the introduction of asymmetric channel bandwidth which under the same principle defined in section 5.3.6 in TS 38.101-1.</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bCs/>
          <w:i w:val="0"/>
          <w:iCs w:val="0"/>
          <w:lang w:val="en-US" w:eastAsia="zh-CN"/>
        </w:rPr>
        <w:t>Proposal 2:</w:t>
      </w:r>
      <w:r>
        <w:rPr>
          <w:rFonts w:hint="eastAsia"/>
          <w:b w:val="0"/>
          <w:bCs w:val="0"/>
          <w:i w:val="0"/>
          <w:iCs w:val="0"/>
          <w:lang w:val="en-US" w:eastAsia="zh-CN"/>
        </w:rPr>
        <w:t xml:space="preserve"> The asymmetric channel bandwidth combinations 5+10MHz, 5+15MHz, and 10+15MHz UL/DL can be introduced under the same principle defined in section 5.3.6 in TS 38.101-1.</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2.3 Synchronization raster entries for each operating band</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val="0"/>
          <w:bCs w:val="0"/>
          <w:i w:val="0"/>
          <w:iCs w:val="0"/>
          <w:lang w:val="en-US" w:eastAsia="zh-CN"/>
        </w:rPr>
        <w:t>The detailed spectrum status between NTN band and surrounding TN bands are shown as following Figure 2.1-1.</w:t>
      </w:r>
    </w:p>
    <w:p>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760085" cy="1435100"/>
            <wp:effectExtent l="0" t="0" r="635"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5"/>
                    <a:stretch>
                      <a:fillRect/>
                    </a:stretch>
                  </pic:blipFill>
                  <pic:spPr>
                    <a:xfrm>
                      <a:off x="0" y="0"/>
                      <a:ext cx="5760085" cy="1435100"/>
                    </a:xfrm>
                    <a:prstGeom prst="rect">
                      <a:avLst/>
                    </a:prstGeom>
                    <a:noFill/>
                    <a:ln w="9525">
                      <a:noFill/>
                    </a:ln>
                  </pic:spPr>
                </pic:pic>
              </a:graphicData>
            </a:graphic>
          </wp:inline>
        </w:drawing>
      </w:r>
    </w:p>
    <w:p>
      <w:pPr>
        <w:keepNext w:val="0"/>
        <w:keepLines w:val="0"/>
        <w:widowControl/>
        <w:suppressLineNumbers w:val="0"/>
        <w:jc w:val="center"/>
        <w:rPr>
          <w:rFonts w:hint="default" w:ascii="Arial" w:hAnsi="Arial" w:eastAsia="宋体" w:cs="Arial"/>
          <w:b/>
          <w:bCs/>
          <w:kern w:val="0"/>
          <w:sz w:val="20"/>
          <w:szCs w:val="20"/>
          <w:lang w:val="en-US" w:eastAsia="zh-CN" w:bidi="ar"/>
        </w:rPr>
      </w:pPr>
      <w:r>
        <w:rPr>
          <w:rFonts w:hint="default" w:ascii="Arial" w:hAnsi="Arial" w:eastAsia="宋体" w:cs="Arial"/>
          <w:b/>
          <w:bCs/>
          <w:kern w:val="0"/>
          <w:sz w:val="20"/>
          <w:szCs w:val="20"/>
          <w:lang w:val="en-US" w:eastAsia="zh-CN" w:bidi="ar"/>
        </w:rPr>
        <w:t>Figure 2.1-1 NTN band and surrounding TN bands</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val="0"/>
          <w:bCs w:val="0"/>
          <w:i w:val="0"/>
          <w:iCs w:val="0"/>
          <w:lang w:val="en-US" w:eastAsia="zh-CN"/>
        </w:rPr>
        <w:t>Based on the above adjacent spectrum for NTN band, the applicable SS Block SCS and SS Block pattern of TN band can be reused. For example, the applicable SS Block SCS and SS Block pattern of band n24 can be reused to n255. Similarly, the applicable SS Block SCS and SS Block pattern of band n41 can be reused to n254. The applicable SS Block SCS and SS Block pattern of TN band n24/41/66 and NTN band n256/255 are listed in Table 2.3-1 and Table 2.3-2.</w:t>
      </w:r>
    </w:p>
    <w:p>
      <w:pPr>
        <w:pStyle w:val="46"/>
      </w:pPr>
      <w:r>
        <w:t xml:space="preserve">Table </w:t>
      </w:r>
      <w:r>
        <w:rPr>
          <w:rFonts w:hint="eastAsia"/>
          <w:lang w:val="en-US" w:eastAsia="zh-CN"/>
        </w:rPr>
        <w:t>2.3</w:t>
      </w:r>
      <w:r>
        <w:t>-1: Applicable SS raster entries per operating band</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8"/>
        <w:gridCol w:w="2407"/>
        <w:gridCol w:w="2407"/>
        <w:gridCol w:w="2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36"/>
              <w:rPr>
                <w:rFonts w:eastAsia="Yu Mincho"/>
              </w:rPr>
            </w:pPr>
            <w:r>
              <w:rPr>
                <w:rFonts w:eastAsia="Yu Mincho"/>
              </w:rPr>
              <w:t>NR operating band</w:t>
            </w:r>
          </w:p>
        </w:tc>
        <w:tc>
          <w:tcPr>
            <w:tcW w:w="2407" w:type="dxa"/>
            <w:tcBorders>
              <w:top w:val="single" w:color="auto" w:sz="4" w:space="0"/>
              <w:left w:val="single" w:color="auto" w:sz="4" w:space="0"/>
              <w:bottom w:val="single" w:color="auto" w:sz="4" w:space="0"/>
              <w:right w:val="single" w:color="auto" w:sz="4" w:space="0"/>
            </w:tcBorders>
          </w:tcPr>
          <w:p>
            <w:pPr>
              <w:pStyle w:val="36"/>
              <w:rPr>
                <w:rFonts w:eastAsia="Yu Mincho"/>
              </w:rPr>
            </w:pPr>
            <w:r>
              <w:rPr>
                <w:rFonts w:eastAsia="Yu Mincho"/>
              </w:rPr>
              <w:t>SS Block SCS</w:t>
            </w:r>
          </w:p>
        </w:tc>
        <w:tc>
          <w:tcPr>
            <w:tcW w:w="2407" w:type="dxa"/>
            <w:tcBorders>
              <w:top w:val="single" w:color="auto" w:sz="4" w:space="0"/>
              <w:left w:val="single" w:color="auto" w:sz="4" w:space="0"/>
              <w:bottom w:val="single" w:color="auto" w:sz="4" w:space="0"/>
              <w:right w:val="single" w:color="auto" w:sz="4" w:space="0"/>
            </w:tcBorders>
          </w:tcPr>
          <w:p>
            <w:pPr>
              <w:pStyle w:val="36"/>
              <w:rPr>
                <w:rFonts w:eastAsia="Yu Mincho"/>
              </w:rPr>
            </w:pPr>
            <w:r>
              <w:rPr>
                <w:rFonts w:eastAsia="Yu Mincho"/>
              </w:rPr>
              <w:t>SS Block pattern</w:t>
            </w:r>
            <w:r>
              <w:rPr>
                <w:rFonts w:eastAsia="Yu Mincho"/>
                <w:vertAlign w:val="superscript"/>
              </w:rPr>
              <w:t>1</w:t>
            </w:r>
          </w:p>
        </w:tc>
        <w:tc>
          <w:tcPr>
            <w:tcW w:w="2407" w:type="dxa"/>
            <w:tcBorders>
              <w:top w:val="single" w:color="auto" w:sz="4" w:space="0"/>
              <w:left w:val="single" w:color="auto" w:sz="4" w:space="0"/>
              <w:bottom w:val="single" w:color="auto" w:sz="4" w:space="0"/>
              <w:right w:val="single" w:color="auto" w:sz="4" w:space="0"/>
            </w:tcBorders>
          </w:tcPr>
          <w:p>
            <w:pPr>
              <w:pStyle w:val="36"/>
              <w:rPr>
                <w:rFonts w:eastAsia="Yu Mincho"/>
              </w:rPr>
            </w:pPr>
            <w:r>
              <w:rPr>
                <w:rFonts w:eastAsia="Yu Mincho"/>
              </w:rPr>
              <w:t>Range of GSCN</w:t>
            </w:r>
          </w:p>
          <w:p>
            <w:pPr>
              <w:pStyle w:val="36"/>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pStyle w:val="37"/>
            </w:pPr>
            <w:r>
              <w:t>n24</w:t>
            </w:r>
          </w:p>
        </w:tc>
        <w:tc>
          <w:tcPr>
            <w:tcW w:w="2407" w:type="dxa"/>
            <w:tcBorders>
              <w:top w:val="single" w:color="auto" w:sz="4" w:space="0"/>
              <w:left w:val="single" w:color="auto" w:sz="4" w:space="0"/>
              <w:bottom w:val="single" w:color="auto" w:sz="4" w:space="0"/>
              <w:right w:val="single" w:color="auto" w:sz="4" w:space="0"/>
            </w:tcBorders>
            <w:shd w:val="clear" w:color="auto" w:fill="auto"/>
          </w:tcPr>
          <w:p>
            <w:pPr>
              <w:pStyle w:val="37"/>
            </w:pPr>
            <w:r>
              <w:rPr>
                <w:rFonts w:cs="Arial"/>
              </w:rPr>
              <w:t>15 kHz</w:t>
            </w:r>
          </w:p>
        </w:tc>
        <w:tc>
          <w:tcPr>
            <w:tcW w:w="2407" w:type="dxa"/>
            <w:tcBorders>
              <w:top w:val="single" w:color="auto" w:sz="4" w:space="0"/>
              <w:left w:val="single" w:color="auto" w:sz="4" w:space="0"/>
              <w:bottom w:val="single" w:color="auto" w:sz="4" w:space="0"/>
              <w:right w:val="single" w:color="auto" w:sz="4" w:space="0"/>
            </w:tcBorders>
            <w:shd w:val="clear" w:color="auto" w:fill="auto"/>
          </w:tcPr>
          <w:p>
            <w:pPr>
              <w:pStyle w:val="37"/>
            </w:pPr>
            <w:r>
              <w:rPr>
                <w:rFonts w:cs="Arial"/>
                <w:lang w:val="en-US"/>
              </w:rPr>
              <w:t>Case A</w:t>
            </w:r>
          </w:p>
        </w:tc>
        <w:tc>
          <w:tcPr>
            <w:tcW w:w="2407" w:type="dxa"/>
            <w:tcBorders>
              <w:top w:val="single" w:color="auto" w:sz="4" w:space="0"/>
              <w:left w:val="single" w:color="auto" w:sz="4" w:space="0"/>
              <w:bottom w:val="single" w:color="auto" w:sz="4" w:space="0"/>
              <w:right w:val="single" w:color="auto" w:sz="4" w:space="0"/>
            </w:tcBorders>
            <w:shd w:val="clear" w:color="auto" w:fill="auto"/>
          </w:tcPr>
          <w:p>
            <w:pPr>
              <w:pStyle w:val="37"/>
            </w:pPr>
            <w:r>
              <w:rPr>
                <w:rFonts w:cs="Arial"/>
              </w:rPr>
              <w:t>3818 – &lt;1&gt; – 3892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tcPr>
          <w:p>
            <w:pPr>
              <w:pStyle w:val="37"/>
            </w:pPr>
          </w:p>
        </w:tc>
        <w:tc>
          <w:tcPr>
            <w:tcW w:w="2407" w:type="dxa"/>
            <w:tcBorders>
              <w:top w:val="single" w:color="auto" w:sz="4" w:space="0"/>
              <w:left w:val="single" w:color="auto" w:sz="4" w:space="0"/>
              <w:bottom w:val="single" w:color="auto" w:sz="4" w:space="0"/>
              <w:right w:val="single" w:color="auto" w:sz="4" w:space="0"/>
            </w:tcBorders>
            <w:shd w:val="clear" w:color="auto" w:fill="auto"/>
          </w:tcPr>
          <w:p>
            <w:pPr>
              <w:pStyle w:val="37"/>
              <w:rPr>
                <w:color w:val="auto"/>
                <w:highlight w:val="none"/>
              </w:rPr>
            </w:pPr>
            <w:r>
              <w:rPr>
                <w:rFonts w:cs="Arial"/>
                <w:color w:val="auto"/>
                <w:highlight w:val="none"/>
              </w:rPr>
              <w:t>30 kHz</w:t>
            </w:r>
          </w:p>
        </w:tc>
        <w:tc>
          <w:tcPr>
            <w:tcW w:w="2407" w:type="dxa"/>
            <w:tcBorders>
              <w:top w:val="single" w:color="auto" w:sz="4" w:space="0"/>
              <w:left w:val="single" w:color="auto" w:sz="4" w:space="0"/>
              <w:bottom w:val="single" w:color="auto" w:sz="4" w:space="0"/>
              <w:right w:val="single" w:color="auto" w:sz="4" w:space="0"/>
            </w:tcBorders>
            <w:shd w:val="clear" w:color="auto" w:fill="auto"/>
          </w:tcPr>
          <w:p>
            <w:pPr>
              <w:pStyle w:val="37"/>
              <w:rPr>
                <w:color w:val="auto"/>
                <w:highlight w:val="none"/>
              </w:rPr>
            </w:pPr>
            <w:r>
              <w:rPr>
                <w:rFonts w:cs="Arial"/>
                <w:color w:val="auto"/>
                <w:highlight w:val="none"/>
                <w:lang w:val="en-US"/>
              </w:rPr>
              <w:t>Case B</w:t>
            </w:r>
          </w:p>
        </w:tc>
        <w:tc>
          <w:tcPr>
            <w:tcW w:w="2407" w:type="dxa"/>
            <w:tcBorders>
              <w:top w:val="single" w:color="auto" w:sz="4" w:space="0"/>
              <w:left w:val="single" w:color="auto" w:sz="4" w:space="0"/>
              <w:bottom w:val="single" w:color="auto" w:sz="4" w:space="0"/>
              <w:right w:val="single" w:color="auto" w:sz="4" w:space="0"/>
            </w:tcBorders>
            <w:shd w:val="clear" w:color="auto" w:fill="auto"/>
          </w:tcPr>
          <w:p>
            <w:pPr>
              <w:pStyle w:val="37"/>
              <w:rPr>
                <w:color w:val="auto"/>
                <w:highlight w:val="none"/>
              </w:rPr>
            </w:pPr>
            <w:r>
              <w:rPr>
                <w:rFonts w:cs="Arial"/>
                <w:color w:val="auto"/>
                <w:highlight w:val="none"/>
              </w:rPr>
              <w:t>3824 – &lt;1&gt; – 3886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pStyle w:val="37"/>
              <w:rPr>
                <w:rFonts w:eastAsia="Yu Mincho"/>
              </w:rPr>
            </w:pPr>
            <w:r>
              <w:t>n41</w:t>
            </w:r>
          </w:p>
        </w:tc>
        <w:tc>
          <w:tcPr>
            <w:tcW w:w="2407" w:type="dxa"/>
            <w:tcBorders>
              <w:top w:val="single" w:color="auto" w:sz="4" w:space="0"/>
              <w:left w:val="single" w:color="auto" w:sz="4" w:space="0"/>
              <w:bottom w:val="single" w:color="auto" w:sz="4" w:space="0"/>
              <w:right w:val="single" w:color="auto" w:sz="4" w:space="0"/>
            </w:tcBorders>
            <w:shd w:val="clear" w:color="auto" w:fill="auto"/>
          </w:tcPr>
          <w:p>
            <w:pPr>
              <w:pStyle w:val="37"/>
              <w:rPr>
                <w:color w:val="auto"/>
              </w:rPr>
            </w:pPr>
            <w:r>
              <w:rPr>
                <w:color w:val="auto"/>
              </w:rPr>
              <w:t>15 kHz</w:t>
            </w:r>
          </w:p>
        </w:tc>
        <w:tc>
          <w:tcPr>
            <w:tcW w:w="2407" w:type="dxa"/>
            <w:tcBorders>
              <w:top w:val="single" w:color="auto" w:sz="4" w:space="0"/>
              <w:left w:val="single" w:color="auto" w:sz="4" w:space="0"/>
              <w:bottom w:val="single" w:color="auto" w:sz="4" w:space="0"/>
              <w:right w:val="single" w:color="auto" w:sz="4" w:space="0"/>
            </w:tcBorders>
            <w:shd w:val="clear" w:color="auto" w:fill="auto"/>
          </w:tcPr>
          <w:p>
            <w:pPr>
              <w:pStyle w:val="37"/>
              <w:rPr>
                <w:color w:val="auto"/>
              </w:rPr>
            </w:pPr>
            <w:r>
              <w:rPr>
                <w:color w:val="auto"/>
                <w:lang w:val="en-US" w:eastAsia="zh-CN"/>
              </w:rPr>
              <w:t xml:space="preserve">Case </w:t>
            </w:r>
            <w:r>
              <w:rPr>
                <w:rFonts w:hint="eastAsia"/>
                <w:color w:val="auto"/>
                <w:lang w:val="en-US" w:eastAsia="zh-CN"/>
              </w:rPr>
              <w:t>A</w:t>
            </w:r>
          </w:p>
        </w:tc>
        <w:tc>
          <w:tcPr>
            <w:tcW w:w="2407" w:type="dxa"/>
            <w:tcBorders>
              <w:top w:val="single" w:color="auto" w:sz="4" w:space="0"/>
              <w:left w:val="single" w:color="auto" w:sz="4" w:space="0"/>
              <w:bottom w:val="single" w:color="auto" w:sz="4" w:space="0"/>
              <w:right w:val="single" w:color="auto" w:sz="4" w:space="0"/>
            </w:tcBorders>
            <w:shd w:val="clear" w:color="auto" w:fill="auto"/>
          </w:tcPr>
          <w:p>
            <w:pPr>
              <w:pStyle w:val="37"/>
              <w:rPr>
                <w:rFonts w:eastAsia="Yu Mincho"/>
                <w:color w:val="auto"/>
              </w:rPr>
            </w:pPr>
            <w:r>
              <w:rPr>
                <w:color w:val="auto"/>
              </w:rPr>
              <w:t>6246 – &lt;3&gt;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tcPr>
          <w:p>
            <w:pPr>
              <w:pStyle w:val="37"/>
            </w:pPr>
          </w:p>
        </w:tc>
        <w:tc>
          <w:tcPr>
            <w:tcW w:w="2407" w:type="dxa"/>
            <w:tcBorders>
              <w:top w:val="single" w:color="auto" w:sz="4" w:space="0"/>
              <w:left w:val="single" w:color="auto" w:sz="4" w:space="0"/>
              <w:bottom w:val="single" w:color="auto" w:sz="4" w:space="0"/>
              <w:right w:val="single" w:color="auto" w:sz="4" w:space="0"/>
            </w:tcBorders>
            <w:shd w:val="clear" w:color="auto" w:fill="auto"/>
          </w:tcPr>
          <w:p>
            <w:pPr>
              <w:pStyle w:val="37"/>
              <w:rPr>
                <w:color w:val="auto"/>
                <w:highlight w:val="none"/>
              </w:rPr>
            </w:pPr>
            <w:r>
              <w:rPr>
                <w:color w:val="auto"/>
                <w:highlight w:val="none"/>
              </w:rPr>
              <w:t>30 kHz</w:t>
            </w:r>
          </w:p>
        </w:tc>
        <w:tc>
          <w:tcPr>
            <w:tcW w:w="2407" w:type="dxa"/>
            <w:tcBorders>
              <w:top w:val="single" w:color="auto" w:sz="4" w:space="0"/>
              <w:left w:val="single" w:color="auto" w:sz="4" w:space="0"/>
              <w:bottom w:val="single" w:color="auto" w:sz="4" w:space="0"/>
              <w:right w:val="single" w:color="auto" w:sz="4" w:space="0"/>
            </w:tcBorders>
            <w:shd w:val="clear" w:color="auto" w:fill="auto"/>
          </w:tcPr>
          <w:p>
            <w:pPr>
              <w:pStyle w:val="37"/>
              <w:rPr>
                <w:color w:val="auto"/>
                <w:highlight w:val="none"/>
              </w:rPr>
            </w:pPr>
            <w:r>
              <w:rPr>
                <w:color w:val="auto"/>
                <w:highlight w:val="none"/>
                <w:lang w:val="en-US" w:eastAsia="zh-CN"/>
              </w:rPr>
              <w:t>Case C</w:t>
            </w:r>
          </w:p>
        </w:tc>
        <w:tc>
          <w:tcPr>
            <w:tcW w:w="2407" w:type="dxa"/>
            <w:tcBorders>
              <w:top w:val="single" w:color="auto" w:sz="4" w:space="0"/>
              <w:left w:val="single" w:color="auto" w:sz="4" w:space="0"/>
              <w:bottom w:val="single" w:color="auto" w:sz="4" w:space="0"/>
              <w:right w:val="single" w:color="auto" w:sz="4" w:space="0"/>
            </w:tcBorders>
            <w:shd w:val="clear" w:color="auto" w:fill="auto"/>
          </w:tcPr>
          <w:p>
            <w:pPr>
              <w:pStyle w:val="37"/>
              <w:rPr>
                <w:color w:val="auto"/>
                <w:highlight w:val="none"/>
              </w:rPr>
            </w:pPr>
            <w:r>
              <w:rPr>
                <w:color w:val="auto"/>
                <w:highlight w:val="none"/>
              </w:rPr>
              <w:t>6252 – &lt;3&gt;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pStyle w:val="37"/>
              <w:rPr>
                <w:rFonts w:eastAsia="Yu Mincho"/>
              </w:rPr>
            </w:pPr>
            <w:r>
              <w:t>n66</w:t>
            </w:r>
          </w:p>
        </w:tc>
        <w:tc>
          <w:tcPr>
            <w:tcW w:w="2407" w:type="dxa"/>
            <w:tcBorders>
              <w:top w:val="single" w:color="auto" w:sz="4" w:space="0"/>
              <w:left w:val="single" w:color="auto" w:sz="4" w:space="0"/>
              <w:bottom w:val="single" w:color="auto" w:sz="4" w:space="0"/>
              <w:right w:val="single" w:color="auto" w:sz="4" w:space="0"/>
            </w:tcBorders>
            <w:shd w:val="clear" w:color="auto" w:fill="auto"/>
          </w:tcPr>
          <w:p>
            <w:pPr>
              <w:pStyle w:val="37"/>
              <w:rPr>
                <w:color w:val="auto"/>
              </w:rPr>
            </w:pPr>
            <w:r>
              <w:rPr>
                <w:color w:val="auto"/>
              </w:rPr>
              <w:t>15 kHz</w:t>
            </w:r>
          </w:p>
        </w:tc>
        <w:tc>
          <w:tcPr>
            <w:tcW w:w="2407" w:type="dxa"/>
            <w:tcBorders>
              <w:top w:val="single" w:color="auto" w:sz="4" w:space="0"/>
              <w:left w:val="single" w:color="auto" w:sz="4" w:space="0"/>
              <w:bottom w:val="single" w:color="auto" w:sz="4" w:space="0"/>
              <w:right w:val="single" w:color="auto" w:sz="4" w:space="0"/>
            </w:tcBorders>
            <w:shd w:val="clear" w:color="auto" w:fill="auto"/>
          </w:tcPr>
          <w:p>
            <w:pPr>
              <w:pStyle w:val="37"/>
              <w:rPr>
                <w:color w:val="auto"/>
              </w:rPr>
            </w:pPr>
            <w:r>
              <w:rPr>
                <w:color w:val="auto"/>
                <w:lang w:val="en-US" w:eastAsia="zh-CN"/>
              </w:rPr>
              <w:t xml:space="preserve">Case </w:t>
            </w:r>
            <w:r>
              <w:rPr>
                <w:rFonts w:hint="eastAsia"/>
                <w:color w:val="auto"/>
                <w:lang w:val="en-US" w:eastAsia="zh-CN"/>
              </w:rPr>
              <w:t>A</w:t>
            </w:r>
          </w:p>
        </w:tc>
        <w:tc>
          <w:tcPr>
            <w:tcW w:w="2407" w:type="dxa"/>
            <w:tcBorders>
              <w:top w:val="single" w:color="auto" w:sz="4" w:space="0"/>
              <w:left w:val="single" w:color="auto" w:sz="4" w:space="0"/>
              <w:bottom w:val="single" w:color="auto" w:sz="4" w:space="0"/>
              <w:right w:val="single" w:color="auto" w:sz="4" w:space="0"/>
            </w:tcBorders>
            <w:shd w:val="clear" w:color="auto" w:fill="auto"/>
          </w:tcPr>
          <w:p>
            <w:pPr>
              <w:pStyle w:val="37"/>
              <w:rPr>
                <w:rFonts w:eastAsia="Yu Mincho"/>
                <w:color w:val="auto"/>
              </w:rPr>
            </w:pPr>
            <w:r>
              <w:rPr>
                <w:color w:val="auto"/>
              </w:rP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vAlign w:val="center"/>
          </w:tcPr>
          <w:p>
            <w:pPr>
              <w:pStyle w:val="37"/>
              <w:rPr>
                <w:rFonts w:eastAsia="Yu Mincho"/>
              </w:rPr>
            </w:pPr>
          </w:p>
        </w:tc>
        <w:tc>
          <w:tcPr>
            <w:tcW w:w="2407" w:type="dxa"/>
            <w:tcBorders>
              <w:top w:val="single" w:color="auto" w:sz="4" w:space="0"/>
              <w:left w:val="single" w:color="auto" w:sz="4" w:space="0"/>
              <w:bottom w:val="single" w:color="auto" w:sz="4" w:space="0"/>
              <w:right w:val="single" w:color="auto" w:sz="4" w:space="0"/>
            </w:tcBorders>
            <w:shd w:val="clear" w:color="auto" w:fill="auto"/>
          </w:tcPr>
          <w:p>
            <w:pPr>
              <w:pStyle w:val="37"/>
              <w:rPr>
                <w:color w:val="auto"/>
                <w:highlight w:val="none"/>
              </w:rPr>
            </w:pPr>
            <w:r>
              <w:rPr>
                <w:color w:val="auto"/>
                <w:highlight w:val="none"/>
              </w:rPr>
              <w:t>30 kHz</w:t>
            </w:r>
          </w:p>
        </w:tc>
        <w:tc>
          <w:tcPr>
            <w:tcW w:w="2407" w:type="dxa"/>
            <w:tcBorders>
              <w:top w:val="single" w:color="auto" w:sz="4" w:space="0"/>
              <w:left w:val="single" w:color="auto" w:sz="4" w:space="0"/>
              <w:bottom w:val="single" w:color="auto" w:sz="4" w:space="0"/>
              <w:right w:val="single" w:color="auto" w:sz="4" w:space="0"/>
            </w:tcBorders>
            <w:shd w:val="clear" w:color="auto" w:fill="auto"/>
          </w:tcPr>
          <w:p>
            <w:pPr>
              <w:pStyle w:val="37"/>
              <w:rPr>
                <w:color w:val="auto"/>
                <w:highlight w:val="none"/>
              </w:rPr>
            </w:pPr>
            <w:r>
              <w:rPr>
                <w:color w:val="auto"/>
                <w:highlight w:val="none"/>
                <w:lang w:val="en-US" w:eastAsia="zh-CN"/>
              </w:rPr>
              <w:t>Case B</w:t>
            </w:r>
          </w:p>
        </w:tc>
        <w:tc>
          <w:tcPr>
            <w:tcW w:w="2407" w:type="dxa"/>
            <w:tcBorders>
              <w:top w:val="single" w:color="auto" w:sz="4" w:space="0"/>
              <w:left w:val="single" w:color="auto" w:sz="4" w:space="0"/>
              <w:bottom w:val="single" w:color="auto" w:sz="4" w:space="0"/>
              <w:right w:val="single" w:color="auto" w:sz="4" w:space="0"/>
            </w:tcBorders>
            <w:shd w:val="clear" w:color="auto" w:fill="auto"/>
          </w:tcPr>
          <w:p>
            <w:pPr>
              <w:pStyle w:val="37"/>
              <w:rPr>
                <w:color w:val="auto"/>
                <w:highlight w:val="none"/>
              </w:rPr>
            </w:pPr>
            <w:r>
              <w:rPr>
                <w:color w:val="auto"/>
                <w:highlight w:val="none"/>
              </w:rPr>
              <w:t>5285 – &lt;1&gt; – 5488</w:t>
            </w:r>
          </w:p>
        </w:tc>
      </w:tr>
    </w:tbl>
    <w:p>
      <w:pPr>
        <w:pStyle w:val="46"/>
        <w:rPr>
          <w:rFonts w:hint="eastAsia"/>
          <w:b w:val="0"/>
          <w:bCs w:val="0"/>
          <w:i w:val="0"/>
          <w:iCs w:val="0"/>
          <w:lang w:val="en-US" w:eastAsia="zh-CN"/>
        </w:rPr>
      </w:pPr>
      <w:r>
        <w:rPr>
          <w:lang w:eastAsia="en-US"/>
        </w:rPr>
        <w:t xml:space="preserve">Table </w:t>
      </w:r>
      <w:r>
        <w:rPr>
          <w:rFonts w:hint="eastAsia"/>
          <w:lang w:val="en-US" w:eastAsia="zh-CN"/>
        </w:rPr>
        <w:t>2.3-2</w:t>
      </w:r>
      <w:r>
        <w:rPr>
          <w:lang w:eastAsia="en-US"/>
        </w:rPr>
        <w:t>: Applicable SS raster entries per operating band</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7"/>
        <w:gridCol w:w="2331"/>
        <w:gridCol w:w="2339"/>
        <w:gridCol w:w="2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single" w:color="auto" w:sz="4" w:space="0"/>
              <w:left w:val="single" w:color="auto" w:sz="4" w:space="0"/>
              <w:bottom w:val="single" w:color="auto" w:sz="4" w:space="0"/>
              <w:right w:val="single" w:color="auto" w:sz="4" w:space="0"/>
            </w:tcBorders>
          </w:tcPr>
          <w:p>
            <w:pPr>
              <w:pStyle w:val="36"/>
              <w:rPr>
                <w:lang w:eastAsia="en-US"/>
              </w:rPr>
            </w:pPr>
            <w:r>
              <w:rPr>
                <w:lang w:eastAsia="en-US"/>
              </w:rPr>
              <w:t>NTN satellite operating band</w:t>
            </w:r>
          </w:p>
        </w:tc>
        <w:tc>
          <w:tcPr>
            <w:tcW w:w="2331" w:type="dxa"/>
            <w:tcBorders>
              <w:top w:val="single" w:color="auto" w:sz="4" w:space="0"/>
              <w:left w:val="single" w:color="auto" w:sz="4" w:space="0"/>
              <w:bottom w:val="single" w:color="auto" w:sz="4" w:space="0"/>
              <w:right w:val="single" w:color="auto" w:sz="4" w:space="0"/>
            </w:tcBorders>
          </w:tcPr>
          <w:p>
            <w:pPr>
              <w:pStyle w:val="36"/>
              <w:rPr>
                <w:lang w:eastAsia="en-US"/>
              </w:rPr>
            </w:pPr>
            <w:r>
              <w:rPr>
                <w:lang w:eastAsia="en-US"/>
              </w:rPr>
              <w:t>SS Block SCS</w:t>
            </w:r>
          </w:p>
        </w:tc>
        <w:tc>
          <w:tcPr>
            <w:tcW w:w="2339" w:type="dxa"/>
            <w:tcBorders>
              <w:top w:val="single" w:color="auto" w:sz="4" w:space="0"/>
              <w:left w:val="single" w:color="auto" w:sz="4" w:space="0"/>
              <w:bottom w:val="single" w:color="auto" w:sz="4" w:space="0"/>
              <w:right w:val="single" w:color="auto" w:sz="4" w:space="0"/>
            </w:tcBorders>
          </w:tcPr>
          <w:p>
            <w:pPr>
              <w:pStyle w:val="36"/>
              <w:rPr>
                <w:lang w:eastAsia="en-US"/>
              </w:rPr>
            </w:pPr>
            <w:r>
              <w:rPr>
                <w:lang w:eastAsia="en-US"/>
              </w:rPr>
              <w:t>SS Block pattern</w:t>
            </w:r>
            <w:r>
              <w:rPr>
                <w:vertAlign w:val="superscript"/>
                <w:lang w:eastAsia="en-US"/>
              </w:rPr>
              <w:t>1</w:t>
            </w:r>
          </w:p>
        </w:tc>
        <w:tc>
          <w:tcPr>
            <w:tcW w:w="2333" w:type="dxa"/>
            <w:tcBorders>
              <w:top w:val="single" w:color="auto" w:sz="4" w:space="0"/>
              <w:left w:val="single" w:color="auto" w:sz="4" w:space="0"/>
              <w:bottom w:val="single" w:color="auto" w:sz="4" w:space="0"/>
              <w:right w:val="single" w:color="auto" w:sz="4" w:space="0"/>
            </w:tcBorders>
          </w:tcPr>
          <w:p>
            <w:pPr>
              <w:pStyle w:val="36"/>
              <w:rPr>
                <w:lang w:eastAsia="en-US"/>
              </w:rPr>
            </w:pPr>
            <w:r>
              <w:rPr>
                <w:lang w:eastAsia="en-US"/>
              </w:rPr>
              <w:t>Range of GSCN</w:t>
            </w:r>
          </w:p>
          <w:p>
            <w:pPr>
              <w:pStyle w:val="36"/>
              <w:rPr>
                <w:lang w:eastAsia="en-US"/>
              </w:rPr>
            </w:pPr>
            <w:r>
              <w:rPr>
                <w:lang w:eastAsia="en-US"/>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single" w:color="auto" w:sz="4" w:space="0"/>
              <w:left w:val="single" w:color="auto" w:sz="4" w:space="0"/>
              <w:bottom w:val="single" w:color="auto" w:sz="4" w:space="0"/>
              <w:right w:val="single" w:color="auto" w:sz="4" w:space="0"/>
            </w:tcBorders>
          </w:tcPr>
          <w:p>
            <w:pPr>
              <w:pStyle w:val="37"/>
              <w:rPr>
                <w:rFonts w:eastAsia="Yu Mincho"/>
                <w:lang w:eastAsia="en-US"/>
              </w:rPr>
            </w:pPr>
            <w:r>
              <w:rPr>
                <w:lang w:eastAsia="en-US"/>
              </w:rPr>
              <w:t>n256</w:t>
            </w:r>
          </w:p>
        </w:tc>
        <w:tc>
          <w:tcPr>
            <w:tcW w:w="2331" w:type="dxa"/>
            <w:tcBorders>
              <w:top w:val="single" w:color="auto" w:sz="4" w:space="0"/>
              <w:left w:val="single" w:color="auto" w:sz="4" w:space="0"/>
              <w:bottom w:val="single" w:color="auto" w:sz="4" w:space="0"/>
              <w:right w:val="single" w:color="auto" w:sz="4" w:space="0"/>
            </w:tcBorders>
          </w:tcPr>
          <w:p>
            <w:pPr>
              <w:pStyle w:val="37"/>
              <w:rPr>
                <w:lang w:eastAsia="en-US"/>
              </w:rPr>
            </w:pPr>
            <w:r>
              <w:rPr>
                <w:lang w:eastAsia="en-US"/>
              </w:rPr>
              <w:t>15 kHz</w:t>
            </w:r>
          </w:p>
        </w:tc>
        <w:tc>
          <w:tcPr>
            <w:tcW w:w="2339" w:type="dxa"/>
            <w:tcBorders>
              <w:top w:val="single" w:color="auto" w:sz="4" w:space="0"/>
              <w:left w:val="single" w:color="auto" w:sz="4" w:space="0"/>
              <w:bottom w:val="single" w:color="auto" w:sz="4" w:space="0"/>
              <w:right w:val="single" w:color="auto" w:sz="4" w:space="0"/>
            </w:tcBorders>
          </w:tcPr>
          <w:p>
            <w:pPr>
              <w:pStyle w:val="37"/>
              <w:rPr>
                <w:lang w:eastAsia="en-US"/>
              </w:rPr>
            </w:pPr>
            <w:r>
              <w:t xml:space="preserve">Case </w:t>
            </w:r>
            <w:r>
              <w:rPr>
                <w:rFonts w:hint="eastAsia"/>
              </w:rPr>
              <w:t>A</w:t>
            </w:r>
          </w:p>
        </w:tc>
        <w:tc>
          <w:tcPr>
            <w:tcW w:w="2333" w:type="dxa"/>
            <w:tcBorders>
              <w:top w:val="single" w:color="auto" w:sz="4" w:space="0"/>
              <w:left w:val="single" w:color="auto" w:sz="4" w:space="0"/>
              <w:bottom w:val="single" w:color="auto" w:sz="4" w:space="0"/>
              <w:right w:val="single" w:color="auto" w:sz="4" w:space="0"/>
            </w:tcBorders>
            <w:vAlign w:val="center"/>
          </w:tcPr>
          <w:p>
            <w:pPr>
              <w:pStyle w:val="37"/>
            </w:pPr>
            <w:r>
              <w:t>5429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single" w:color="auto" w:sz="4" w:space="0"/>
              <w:left w:val="single" w:color="auto" w:sz="4" w:space="0"/>
              <w:bottom w:val="nil"/>
              <w:right w:val="single" w:color="auto" w:sz="4" w:space="0"/>
            </w:tcBorders>
            <w:vAlign w:val="center"/>
          </w:tcPr>
          <w:p>
            <w:pPr>
              <w:pStyle w:val="37"/>
              <w:rPr>
                <w:rFonts w:eastAsia="Yu Mincho"/>
                <w:lang w:eastAsia="en-US"/>
              </w:rPr>
            </w:pPr>
            <w:r>
              <w:rPr>
                <w:lang w:eastAsia="en-US"/>
              </w:rPr>
              <w:t>n255</w:t>
            </w:r>
          </w:p>
        </w:tc>
        <w:tc>
          <w:tcPr>
            <w:tcW w:w="2331" w:type="dxa"/>
            <w:tcBorders>
              <w:top w:val="single" w:color="auto" w:sz="4" w:space="0"/>
              <w:left w:val="single" w:color="auto" w:sz="4" w:space="0"/>
              <w:bottom w:val="single" w:color="auto" w:sz="4" w:space="0"/>
              <w:right w:val="single" w:color="auto" w:sz="4" w:space="0"/>
            </w:tcBorders>
          </w:tcPr>
          <w:p>
            <w:pPr>
              <w:pStyle w:val="37"/>
              <w:rPr>
                <w:lang w:eastAsia="en-US"/>
              </w:rPr>
            </w:pPr>
            <w:r>
              <w:rPr>
                <w:lang w:eastAsia="en-US"/>
              </w:rPr>
              <w:t>15 kHz</w:t>
            </w:r>
          </w:p>
        </w:tc>
        <w:tc>
          <w:tcPr>
            <w:tcW w:w="2339" w:type="dxa"/>
            <w:tcBorders>
              <w:top w:val="single" w:color="auto" w:sz="4" w:space="0"/>
              <w:left w:val="single" w:color="auto" w:sz="4" w:space="0"/>
              <w:bottom w:val="single" w:color="auto" w:sz="4" w:space="0"/>
              <w:right w:val="single" w:color="auto" w:sz="4" w:space="0"/>
            </w:tcBorders>
          </w:tcPr>
          <w:p>
            <w:pPr>
              <w:pStyle w:val="37"/>
              <w:rPr>
                <w:lang w:eastAsia="en-US"/>
              </w:rPr>
            </w:pPr>
            <w:r>
              <w:t xml:space="preserve">Case </w:t>
            </w:r>
            <w:r>
              <w:rPr>
                <w:rFonts w:hint="eastAsia"/>
              </w:rPr>
              <w:t>A</w:t>
            </w:r>
          </w:p>
        </w:tc>
        <w:tc>
          <w:tcPr>
            <w:tcW w:w="2333" w:type="dxa"/>
            <w:tcBorders>
              <w:top w:val="single" w:color="auto" w:sz="4" w:space="0"/>
              <w:left w:val="single" w:color="auto" w:sz="4" w:space="0"/>
              <w:bottom w:val="single" w:color="auto" w:sz="4" w:space="0"/>
              <w:right w:val="single" w:color="auto" w:sz="4" w:space="0"/>
            </w:tcBorders>
          </w:tcPr>
          <w:p>
            <w:pPr>
              <w:pStyle w:val="37"/>
            </w:pPr>
            <w:r>
              <w:rPr>
                <w:rFonts w:hint="eastAsia"/>
              </w:rPr>
              <w:t>3818</w:t>
            </w:r>
            <w:r>
              <w:t xml:space="preserve"> – &lt;1&gt; –</w:t>
            </w:r>
            <w:r>
              <w:rPr>
                <w:rFonts w:hint="eastAsia"/>
              </w:rPr>
              <w:t xml:space="preserve"> 3892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nil"/>
              <w:left w:val="single" w:color="auto" w:sz="4" w:space="0"/>
              <w:bottom w:val="single" w:color="auto" w:sz="4" w:space="0"/>
              <w:right w:val="single" w:color="auto" w:sz="4" w:space="0"/>
            </w:tcBorders>
          </w:tcPr>
          <w:p>
            <w:pPr>
              <w:pStyle w:val="37"/>
              <w:rPr>
                <w:lang w:eastAsia="en-US"/>
              </w:rPr>
            </w:pPr>
          </w:p>
        </w:tc>
        <w:tc>
          <w:tcPr>
            <w:tcW w:w="2331" w:type="dxa"/>
            <w:tcBorders>
              <w:top w:val="single" w:color="auto" w:sz="4" w:space="0"/>
              <w:left w:val="single" w:color="auto" w:sz="4" w:space="0"/>
              <w:bottom w:val="single" w:color="auto" w:sz="4" w:space="0"/>
              <w:right w:val="single" w:color="auto" w:sz="4" w:space="0"/>
            </w:tcBorders>
          </w:tcPr>
          <w:p>
            <w:pPr>
              <w:pStyle w:val="37"/>
              <w:rPr>
                <w:lang w:eastAsia="en-US"/>
              </w:rPr>
            </w:pPr>
            <w:r>
              <w:rPr>
                <w:lang w:eastAsia="en-US"/>
              </w:rPr>
              <w:t>30 kHz</w:t>
            </w:r>
          </w:p>
        </w:tc>
        <w:tc>
          <w:tcPr>
            <w:tcW w:w="2339" w:type="dxa"/>
            <w:tcBorders>
              <w:top w:val="single" w:color="auto" w:sz="4" w:space="0"/>
              <w:left w:val="single" w:color="auto" w:sz="4" w:space="0"/>
              <w:bottom w:val="single" w:color="auto" w:sz="4" w:space="0"/>
              <w:right w:val="single" w:color="auto" w:sz="4" w:space="0"/>
            </w:tcBorders>
          </w:tcPr>
          <w:p>
            <w:pPr>
              <w:pStyle w:val="37"/>
            </w:pPr>
            <w:r>
              <w:t>Case B</w:t>
            </w:r>
          </w:p>
        </w:tc>
        <w:tc>
          <w:tcPr>
            <w:tcW w:w="2333" w:type="dxa"/>
            <w:tcBorders>
              <w:top w:val="single" w:color="auto" w:sz="4" w:space="0"/>
              <w:left w:val="single" w:color="auto" w:sz="4" w:space="0"/>
              <w:bottom w:val="single" w:color="auto" w:sz="4" w:space="0"/>
              <w:right w:val="single" w:color="auto" w:sz="4" w:space="0"/>
            </w:tcBorders>
          </w:tcPr>
          <w:p>
            <w:pPr>
              <w:pStyle w:val="37"/>
            </w:pPr>
            <w:r>
              <w:t>3824 – &lt;1&gt; – 3886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0" w:type="dxa"/>
            <w:gridSpan w:val="4"/>
            <w:tcBorders>
              <w:left w:val="single" w:color="auto" w:sz="4" w:space="0"/>
              <w:bottom w:val="single" w:color="auto" w:sz="4" w:space="0"/>
              <w:right w:val="single" w:color="auto" w:sz="4" w:space="0"/>
            </w:tcBorders>
          </w:tcPr>
          <w:p>
            <w:pPr>
              <w:pStyle w:val="49"/>
              <w:rPr>
                <w:lang w:eastAsia="en-US"/>
              </w:rPr>
            </w:pPr>
            <w:r>
              <w:rPr>
                <w:lang w:eastAsia="en-US"/>
              </w:rPr>
              <w:t>NOTE :</w:t>
            </w:r>
            <w:r>
              <w:rPr>
                <w:lang w:eastAsia="en-US"/>
              </w:rPr>
              <w:tab/>
            </w:r>
            <w:r>
              <w:rPr>
                <w:lang w:eastAsia="en-US"/>
              </w:rPr>
              <w:t>SS Block pattern is defined in clause 4.1 in 3GPP TS 38.213 [7].</w:t>
            </w: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val="0"/>
          <w:bCs w:val="0"/>
          <w:i w:val="0"/>
          <w:iCs w:val="0"/>
          <w:lang w:val="en-US" w:eastAsia="zh-CN"/>
        </w:rPr>
        <w:t>Therefore, the synchronization raster for operating bands n254 is specified in Table2.3-3.</w:t>
      </w:r>
    </w:p>
    <w:p>
      <w:pPr>
        <w:pStyle w:val="46"/>
        <w:rPr>
          <w:lang w:eastAsia="en-US"/>
        </w:rPr>
      </w:pPr>
      <w:r>
        <w:rPr>
          <w:lang w:eastAsia="en-US"/>
        </w:rPr>
        <w:t xml:space="preserve">Table </w:t>
      </w:r>
      <w:r>
        <w:rPr>
          <w:rFonts w:hint="eastAsia"/>
          <w:lang w:val="en-US" w:eastAsia="zh-CN"/>
        </w:rPr>
        <w:t>2.3-3</w:t>
      </w:r>
      <w:r>
        <w:rPr>
          <w:lang w:eastAsia="en-US"/>
        </w:rPr>
        <w:t>: Applicable SS raster entries per operating band</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7"/>
        <w:gridCol w:w="2331"/>
        <w:gridCol w:w="2339"/>
        <w:gridCol w:w="2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single" w:color="auto" w:sz="4" w:space="0"/>
              <w:left w:val="single" w:color="auto" w:sz="4" w:space="0"/>
              <w:bottom w:val="single" w:color="auto" w:sz="4" w:space="0"/>
              <w:right w:val="single" w:color="auto" w:sz="4" w:space="0"/>
            </w:tcBorders>
          </w:tcPr>
          <w:p>
            <w:pPr>
              <w:pStyle w:val="36"/>
              <w:rPr>
                <w:lang w:eastAsia="en-US"/>
              </w:rPr>
            </w:pPr>
            <w:r>
              <w:rPr>
                <w:lang w:eastAsia="en-US"/>
              </w:rPr>
              <w:t>NTN satellite operating band</w:t>
            </w:r>
          </w:p>
        </w:tc>
        <w:tc>
          <w:tcPr>
            <w:tcW w:w="2331" w:type="dxa"/>
            <w:tcBorders>
              <w:top w:val="single" w:color="auto" w:sz="4" w:space="0"/>
              <w:left w:val="single" w:color="auto" w:sz="4" w:space="0"/>
              <w:bottom w:val="single" w:color="auto" w:sz="4" w:space="0"/>
              <w:right w:val="single" w:color="auto" w:sz="4" w:space="0"/>
            </w:tcBorders>
          </w:tcPr>
          <w:p>
            <w:pPr>
              <w:pStyle w:val="36"/>
              <w:rPr>
                <w:lang w:eastAsia="en-US"/>
              </w:rPr>
            </w:pPr>
            <w:r>
              <w:rPr>
                <w:lang w:eastAsia="en-US"/>
              </w:rPr>
              <w:t>SS Block SCS</w:t>
            </w:r>
          </w:p>
        </w:tc>
        <w:tc>
          <w:tcPr>
            <w:tcW w:w="2339" w:type="dxa"/>
            <w:tcBorders>
              <w:top w:val="single" w:color="auto" w:sz="4" w:space="0"/>
              <w:left w:val="single" w:color="auto" w:sz="4" w:space="0"/>
              <w:bottom w:val="single" w:color="auto" w:sz="4" w:space="0"/>
              <w:right w:val="single" w:color="auto" w:sz="4" w:space="0"/>
            </w:tcBorders>
          </w:tcPr>
          <w:p>
            <w:pPr>
              <w:pStyle w:val="36"/>
              <w:rPr>
                <w:lang w:eastAsia="en-US"/>
              </w:rPr>
            </w:pPr>
            <w:r>
              <w:rPr>
                <w:lang w:eastAsia="en-US"/>
              </w:rPr>
              <w:t>SS Block pattern</w:t>
            </w:r>
            <w:r>
              <w:rPr>
                <w:vertAlign w:val="superscript"/>
                <w:lang w:eastAsia="en-US"/>
              </w:rPr>
              <w:t>1</w:t>
            </w:r>
          </w:p>
        </w:tc>
        <w:tc>
          <w:tcPr>
            <w:tcW w:w="2333" w:type="dxa"/>
            <w:tcBorders>
              <w:top w:val="single" w:color="auto" w:sz="4" w:space="0"/>
              <w:left w:val="single" w:color="auto" w:sz="4" w:space="0"/>
              <w:bottom w:val="single" w:color="auto" w:sz="4" w:space="0"/>
              <w:right w:val="single" w:color="auto" w:sz="4" w:space="0"/>
            </w:tcBorders>
          </w:tcPr>
          <w:p>
            <w:pPr>
              <w:pStyle w:val="36"/>
              <w:rPr>
                <w:lang w:eastAsia="en-US"/>
              </w:rPr>
            </w:pPr>
            <w:r>
              <w:rPr>
                <w:lang w:eastAsia="en-US"/>
              </w:rPr>
              <w:t>Range of GSCN</w:t>
            </w:r>
          </w:p>
          <w:p>
            <w:pPr>
              <w:pStyle w:val="36"/>
              <w:rPr>
                <w:lang w:eastAsia="en-US"/>
              </w:rPr>
            </w:pPr>
            <w:r>
              <w:rPr>
                <w:lang w:eastAsia="en-US"/>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single" w:color="auto" w:sz="4" w:space="0"/>
              <w:left w:val="single" w:color="auto" w:sz="4" w:space="0"/>
              <w:bottom w:val="nil"/>
              <w:right w:val="single" w:color="auto" w:sz="4" w:space="0"/>
            </w:tcBorders>
            <w:vAlign w:val="center"/>
          </w:tcPr>
          <w:p>
            <w:pPr>
              <w:pStyle w:val="37"/>
              <w:rPr>
                <w:rFonts w:hint="eastAsia" w:eastAsia="宋体"/>
                <w:lang w:val="en-US" w:eastAsia="zh-CN"/>
              </w:rPr>
            </w:pPr>
            <w:r>
              <w:rPr>
                <w:lang w:eastAsia="en-US"/>
              </w:rPr>
              <w:t>n25</w:t>
            </w:r>
            <w:r>
              <w:rPr>
                <w:rFonts w:hint="eastAsia" w:eastAsia="宋体"/>
                <w:lang w:val="en-US" w:eastAsia="zh-CN"/>
              </w:rPr>
              <w:t>4</w:t>
            </w:r>
          </w:p>
        </w:tc>
        <w:tc>
          <w:tcPr>
            <w:tcW w:w="2331" w:type="dxa"/>
            <w:tcBorders>
              <w:top w:val="single" w:color="auto" w:sz="4" w:space="0"/>
              <w:left w:val="single" w:color="auto" w:sz="4" w:space="0"/>
              <w:bottom w:val="single" w:color="auto" w:sz="4" w:space="0"/>
              <w:right w:val="single" w:color="auto" w:sz="4" w:space="0"/>
            </w:tcBorders>
          </w:tcPr>
          <w:p>
            <w:pPr>
              <w:pStyle w:val="37"/>
              <w:rPr>
                <w:lang w:eastAsia="en-US"/>
              </w:rPr>
            </w:pPr>
            <w:r>
              <w:rPr>
                <w:lang w:eastAsia="en-US"/>
              </w:rPr>
              <w:t>15 kHz</w:t>
            </w:r>
          </w:p>
        </w:tc>
        <w:tc>
          <w:tcPr>
            <w:tcW w:w="2339" w:type="dxa"/>
            <w:tcBorders>
              <w:top w:val="single" w:color="auto" w:sz="4" w:space="0"/>
              <w:left w:val="single" w:color="auto" w:sz="4" w:space="0"/>
              <w:bottom w:val="single" w:color="auto" w:sz="4" w:space="0"/>
              <w:right w:val="single" w:color="auto" w:sz="4" w:space="0"/>
            </w:tcBorders>
          </w:tcPr>
          <w:p>
            <w:pPr>
              <w:pStyle w:val="37"/>
              <w:rPr>
                <w:lang w:eastAsia="en-US"/>
              </w:rPr>
            </w:pPr>
            <w:r>
              <w:t xml:space="preserve">Case </w:t>
            </w:r>
            <w:r>
              <w:rPr>
                <w:rFonts w:hint="eastAsia"/>
              </w:rPr>
              <w:t>A</w:t>
            </w:r>
          </w:p>
        </w:tc>
        <w:tc>
          <w:tcPr>
            <w:tcW w:w="2333" w:type="dxa"/>
            <w:tcBorders>
              <w:top w:val="single" w:color="auto" w:sz="4" w:space="0"/>
              <w:left w:val="single" w:color="auto" w:sz="4" w:space="0"/>
              <w:bottom w:val="single" w:color="auto" w:sz="4" w:space="0"/>
              <w:right w:val="single" w:color="auto" w:sz="4" w:space="0"/>
            </w:tcBorders>
          </w:tcPr>
          <w:p>
            <w:pPr>
              <w:pStyle w:val="37"/>
            </w:pPr>
            <w:r>
              <w:rPr>
                <w:rFonts w:hint="eastAsia"/>
              </w:rPr>
              <w:t>6215 – &lt;1&gt; – 6244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nil"/>
              <w:left w:val="single" w:color="auto" w:sz="4" w:space="0"/>
              <w:right w:val="single" w:color="auto" w:sz="4" w:space="0"/>
            </w:tcBorders>
          </w:tcPr>
          <w:p>
            <w:pPr>
              <w:pStyle w:val="37"/>
              <w:rPr>
                <w:lang w:eastAsia="en-US"/>
              </w:rPr>
            </w:pPr>
          </w:p>
        </w:tc>
        <w:tc>
          <w:tcPr>
            <w:tcW w:w="2331" w:type="dxa"/>
            <w:tcBorders>
              <w:top w:val="single" w:color="auto" w:sz="4" w:space="0"/>
              <w:left w:val="single" w:color="auto" w:sz="4" w:space="0"/>
              <w:bottom w:val="single" w:color="auto" w:sz="4" w:space="0"/>
              <w:right w:val="single" w:color="auto" w:sz="4" w:space="0"/>
            </w:tcBorders>
            <w:shd w:val="clear" w:color="auto" w:fill="auto"/>
          </w:tcPr>
          <w:p>
            <w:pPr>
              <w:pStyle w:val="37"/>
              <w:rPr>
                <w:highlight w:val="none"/>
                <w:lang w:eastAsia="en-US"/>
              </w:rPr>
            </w:pPr>
            <w:r>
              <w:rPr>
                <w:highlight w:val="none"/>
                <w:lang w:eastAsia="en-US"/>
              </w:rPr>
              <w:t>30 kHz</w:t>
            </w:r>
          </w:p>
        </w:tc>
        <w:tc>
          <w:tcPr>
            <w:tcW w:w="2339" w:type="dxa"/>
            <w:tcBorders>
              <w:top w:val="single" w:color="auto" w:sz="4" w:space="0"/>
              <w:left w:val="single" w:color="auto" w:sz="4" w:space="0"/>
              <w:bottom w:val="single" w:color="auto" w:sz="4" w:space="0"/>
              <w:right w:val="single" w:color="auto" w:sz="4" w:space="0"/>
            </w:tcBorders>
            <w:shd w:val="clear" w:color="auto" w:fill="auto"/>
          </w:tcPr>
          <w:p>
            <w:pPr>
              <w:pStyle w:val="37"/>
              <w:rPr>
                <w:rFonts w:hint="eastAsia" w:eastAsia="宋体"/>
                <w:highlight w:val="none"/>
                <w:lang w:eastAsia="zh-CN"/>
              </w:rPr>
            </w:pPr>
            <w:r>
              <w:rPr>
                <w:highlight w:val="none"/>
              </w:rPr>
              <w:t xml:space="preserve">Case </w:t>
            </w:r>
            <w:r>
              <w:rPr>
                <w:rFonts w:hint="eastAsia" w:eastAsia="宋体"/>
                <w:highlight w:val="none"/>
                <w:lang w:val="en-US" w:eastAsia="zh-CN"/>
              </w:rPr>
              <w:t>C</w:t>
            </w:r>
          </w:p>
        </w:tc>
        <w:tc>
          <w:tcPr>
            <w:tcW w:w="2333" w:type="dxa"/>
            <w:tcBorders>
              <w:top w:val="single" w:color="auto" w:sz="4" w:space="0"/>
              <w:left w:val="single" w:color="auto" w:sz="4" w:space="0"/>
              <w:bottom w:val="single" w:color="auto" w:sz="4" w:space="0"/>
              <w:right w:val="single" w:color="auto" w:sz="4" w:space="0"/>
            </w:tcBorders>
            <w:shd w:val="clear" w:color="auto" w:fill="auto"/>
          </w:tcPr>
          <w:p>
            <w:pPr>
              <w:pStyle w:val="37"/>
              <w:rPr>
                <w:highlight w:val="none"/>
              </w:rPr>
            </w:pPr>
            <w:r>
              <w:rPr>
                <w:rFonts w:hint="eastAsia"/>
                <w:highlight w:val="none"/>
              </w:rPr>
              <w:t>6218 – &lt;1&gt; – 6241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350" w:type="dxa"/>
            <w:gridSpan w:val="4"/>
            <w:tcBorders>
              <w:left w:val="single" w:color="auto" w:sz="4" w:space="0"/>
              <w:bottom w:val="single" w:color="auto" w:sz="4" w:space="0"/>
              <w:right w:val="single" w:color="auto" w:sz="4" w:space="0"/>
            </w:tcBorders>
          </w:tcPr>
          <w:p>
            <w:pPr>
              <w:pStyle w:val="49"/>
              <w:rPr>
                <w:lang w:eastAsia="en-US"/>
              </w:rPr>
            </w:pPr>
            <w:r>
              <w:rPr>
                <w:lang w:eastAsia="en-US"/>
              </w:rPr>
              <w:t>NOTE :</w:t>
            </w:r>
            <w:r>
              <w:rPr>
                <w:lang w:eastAsia="en-US"/>
              </w:rPr>
              <w:tab/>
            </w:r>
            <w:r>
              <w:rPr>
                <w:lang w:eastAsia="en-US"/>
              </w:rPr>
              <w:t>SS Block pattern is defined in clause 4.1 in 3GPP TS 38.213 [7].</w:t>
            </w: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bCs/>
          <w:i w:val="0"/>
          <w:iCs w:val="0"/>
          <w:lang w:val="en-US" w:eastAsia="zh-CN"/>
        </w:rPr>
        <w:t xml:space="preserve">Proposal 3: </w:t>
      </w:r>
      <w:r>
        <w:rPr>
          <w:rFonts w:hint="eastAsia"/>
          <w:b w:val="0"/>
          <w:bCs w:val="0"/>
          <w:i w:val="0"/>
          <w:iCs w:val="0"/>
          <w:lang w:val="en-US" w:eastAsia="zh-CN"/>
        </w:rPr>
        <w:t>For the NTN FDD band with a UE transmitting at 1610-1626.5MHz and SAN transmitting at 2483.5-2500MHz, the synchronization raster of SS Block pattern Case C also should be added as Table 2.3-3.</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2.4 TX–RX frequency separation</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val="0"/>
          <w:bCs w:val="0"/>
          <w:i w:val="0"/>
          <w:iCs w:val="0"/>
          <w:lang w:val="en-US" w:eastAsia="zh-CN"/>
        </w:rPr>
        <w:t>As a starting point, t</w:t>
      </w:r>
      <w:r>
        <w:rPr>
          <w:rFonts w:hint="default"/>
          <w:b w:val="0"/>
          <w:bCs w:val="0"/>
          <w:i w:val="0"/>
          <w:iCs w:val="0"/>
          <w:lang w:val="en-US" w:eastAsia="zh-CN"/>
        </w:rPr>
        <w:t xml:space="preserve">he default TX channel (carrier centre frequency) to RX channel (carrier centre frequency) separation for operating bands </w:t>
      </w:r>
      <w:r>
        <w:rPr>
          <w:rFonts w:hint="eastAsia"/>
          <w:b w:val="0"/>
          <w:bCs w:val="0"/>
          <w:i w:val="0"/>
          <w:iCs w:val="0"/>
          <w:lang w:val="en-US" w:eastAsia="zh-CN"/>
        </w:rPr>
        <w:t>n254 can be</w:t>
      </w:r>
      <w:r>
        <w:rPr>
          <w:rFonts w:hint="default"/>
          <w:b w:val="0"/>
          <w:bCs w:val="0"/>
          <w:i w:val="0"/>
          <w:iCs w:val="0"/>
          <w:lang w:val="en-US" w:eastAsia="zh-CN"/>
        </w:rPr>
        <w:t xml:space="preserve"> specified </w:t>
      </w:r>
      <w:r>
        <w:rPr>
          <w:rFonts w:hint="eastAsia"/>
          <w:b w:val="0"/>
          <w:bCs w:val="0"/>
          <w:i w:val="0"/>
          <w:iCs w:val="0"/>
          <w:lang w:val="en-US" w:eastAsia="zh-CN"/>
        </w:rPr>
        <w:t>as</w:t>
      </w:r>
      <w:r>
        <w:rPr>
          <w:rFonts w:hint="default"/>
          <w:b w:val="0"/>
          <w:bCs w:val="0"/>
          <w:i w:val="0"/>
          <w:iCs w:val="0"/>
          <w:lang w:val="en-US" w:eastAsia="zh-CN"/>
        </w:rPr>
        <w:t xml:space="preserve"> Table </w:t>
      </w:r>
      <w:r>
        <w:rPr>
          <w:rFonts w:hint="eastAsia"/>
          <w:b w:val="0"/>
          <w:bCs w:val="0"/>
          <w:i w:val="0"/>
          <w:iCs w:val="0"/>
          <w:lang w:val="en-US" w:eastAsia="zh-CN"/>
        </w:rPr>
        <w:t>2.4</w:t>
      </w:r>
      <w:r>
        <w:rPr>
          <w:rFonts w:hint="default"/>
          <w:b w:val="0"/>
          <w:bCs w:val="0"/>
          <w:i w:val="0"/>
          <w:iCs w:val="0"/>
          <w:lang w:val="en-US" w:eastAsia="zh-CN"/>
        </w:rPr>
        <w:t>-1.</w:t>
      </w:r>
    </w:p>
    <w:p>
      <w:pPr>
        <w:pStyle w:val="46"/>
      </w:pPr>
      <w:r>
        <w:t xml:space="preserve">Table </w:t>
      </w:r>
      <w:r>
        <w:rPr>
          <w:rFonts w:hint="eastAsia"/>
          <w:lang w:val="en-US" w:eastAsia="zh-CN"/>
        </w:rPr>
        <w:t>2</w:t>
      </w:r>
      <w:r>
        <w:t>.</w:t>
      </w:r>
      <w:r>
        <w:rPr>
          <w:rFonts w:hint="eastAsia"/>
          <w:lang w:val="en-US" w:eastAsia="zh-CN"/>
        </w:rPr>
        <w:t>4</w:t>
      </w:r>
      <w:r>
        <w:t>-1: UE TX-RX frequency separation</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pStyle w:val="36"/>
            </w:pPr>
            <w:r>
              <w:t>NTN Satellite Operating Band</w:t>
            </w:r>
          </w:p>
        </w:tc>
        <w:tc>
          <w:tcPr>
            <w:tcW w:w="2693" w:type="dxa"/>
          </w:tcPr>
          <w:p>
            <w:pPr>
              <w:pStyle w:val="36"/>
            </w:pPr>
            <w:r>
              <w:t xml:space="preserve">TX </w:t>
            </w:r>
            <w:r>
              <w:rPr>
                <w:rFonts w:cs="v5.0.0"/>
              </w:rPr>
              <w:t>–</w:t>
            </w:r>
            <w:r>
              <w:t xml:space="preserve"> RX </w:t>
            </w:r>
            <w:r>
              <w:br w:type="textWrapping"/>
            </w:r>
            <w:r>
              <w:t>carrier centre frequency</w:t>
            </w:r>
            <w:r>
              <w:br w:type="textWrapping"/>
            </w:r>
            <w: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37"/>
              <w:rPr>
                <w:rFonts w:hint="eastAsia" w:eastAsia="宋体"/>
                <w:lang w:eastAsia="zh-CN"/>
              </w:rPr>
            </w:pPr>
            <w:r>
              <w:rPr>
                <w:rFonts w:hint="eastAsia"/>
                <w:lang w:val="en-US"/>
              </w:rPr>
              <w:t>n</w:t>
            </w:r>
            <w:r>
              <w:rPr>
                <w:lang w:val="en-US"/>
              </w:rPr>
              <w:t>25</w:t>
            </w:r>
            <w:r>
              <w:rPr>
                <w:rFonts w:hint="eastAsia" w:eastAsia="宋体"/>
                <w:lang w:val="en-US" w:eastAsia="zh-CN"/>
              </w:rPr>
              <w:t>4</w:t>
            </w:r>
          </w:p>
        </w:tc>
        <w:tc>
          <w:tcPr>
            <w:tcW w:w="2693" w:type="dxa"/>
            <w:tcBorders>
              <w:top w:val="single" w:color="auto" w:sz="4" w:space="0"/>
              <w:left w:val="single" w:color="auto" w:sz="4" w:space="0"/>
              <w:bottom w:val="single" w:color="auto" w:sz="4" w:space="0"/>
              <w:right w:val="single" w:color="auto" w:sz="4" w:space="0"/>
            </w:tcBorders>
          </w:tcPr>
          <w:p>
            <w:pPr>
              <w:pStyle w:val="37"/>
            </w:pPr>
            <w:r>
              <w:rPr>
                <w:rFonts w:hint="eastAsia" w:eastAsia="宋体"/>
                <w:lang w:val="en-US" w:eastAsia="zh-CN"/>
              </w:rPr>
              <w:t>873.5</w:t>
            </w:r>
            <w:r>
              <w:rPr>
                <w:rFonts w:hint="eastAsia"/>
                <w:lang w:val="en-US"/>
              </w:rPr>
              <w:t xml:space="preserve"> MHz</w:t>
            </w: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bCs/>
          <w:i w:val="0"/>
          <w:iCs w:val="0"/>
          <w:lang w:val="en-US" w:eastAsia="zh-CN"/>
        </w:rPr>
        <w:t>Proposal 4:</w:t>
      </w:r>
      <w:r>
        <w:rPr>
          <w:rFonts w:hint="eastAsia"/>
          <w:b w:val="0"/>
          <w:bCs w:val="0"/>
          <w:i w:val="0"/>
          <w:iCs w:val="0"/>
          <w:lang w:val="en-US" w:eastAsia="zh-CN"/>
        </w:rPr>
        <w:t xml:space="preserve"> For the NTN FDD band with a UE transmitting at 1610-1626.5MHz and SAN transmitting at 2483.5-2500MHz, the TX–RX frequency separation defined in Table 2.4-1 can be used as the starting point.</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 xml:space="preserve">2.5 Reference sensitivity level </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default"/>
          <w:b w:val="0"/>
          <w:bCs w:val="0"/>
          <w:i w:val="0"/>
          <w:iCs w:val="0"/>
          <w:lang w:val="en-US" w:eastAsia="zh-CN"/>
        </w:rPr>
        <w:t>The following agreement has been approved</w:t>
      </w:r>
      <w:r>
        <w:rPr>
          <w:rFonts w:hint="eastAsia"/>
          <w:b w:val="0"/>
          <w:bCs w:val="0"/>
          <w:i w:val="0"/>
          <w:iCs w:val="0"/>
          <w:lang w:val="en-US" w:eastAsia="zh-CN"/>
        </w:rPr>
        <w:t xml:space="preserve"> at last meeting:</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rFonts w:hint="eastAsia"/>
                <w:highlight w:val="green"/>
                <w:lang w:val="en-US" w:eastAsia="zh-CN"/>
              </w:rPr>
            </w:pPr>
            <w:r>
              <w:rPr>
                <w:rFonts w:hint="eastAsia"/>
                <w:highlight w:val="green"/>
                <w:lang w:val="en-US" w:eastAsia="zh-CN"/>
              </w:rPr>
              <w:t>Agreement：</w:t>
            </w:r>
          </w:p>
          <w:p>
            <w:pPr>
              <w:pStyle w:val="51"/>
            </w:pPr>
            <w:r>
              <w:t>-</w:t>
            </w:r>
            <w:r>
              <w:tab/>
            </w:r>
            <w:r>
              <w:t>Reference sensitivity:</w:t>
            </w:r>
          </w:p>
          <w:p>
            <w:pPr>
              <w:pStyle w:val="97"/>
              <w:ind w:left="420" w:leftChars="200" w:firstLine="218" w:firstLineChars="104"/>
            </w:pPr>
            <w:r>
              <w:t>-</w:t>
            </w:r>
            <w:r>
              <w:tab/>
            </w:r>
            <w:r>
              <w:t>n53 REFSENS + "insertion loss" dB; where potential options for the insertion loss are as follows</w:t>
            </w:r>
          </w:p>
          <w:p>
            <w:pPr>
              <w:pStyle w:val="97"/>
              <w:ind w:left="420" w:leftChars="200" w:firstLine="218" w:firstLineChars="104"/>
            </w:pPr>
            <w:r>
              <w:t>-</w:t>
            </w:r>
            <w:r>
              <w:tab/>
            </w:r>
            <w:r>
              <w:t>Option 1: 0dB (resulting in same REFSENS as band n53);</w:t>
            </w:r>
          </w:p>
          <w:p>
            <w:pPr>
              <w:pStyle w:val="97"/>
              <w:ind w:left="420" w:leftChars="200" w:firstLine="218" w:firstLineChars="104"/>
            </w:pPr>
            <w:r>
              <w:t>-</w:t>
            </w:r>
            <w:r>
              <w:tab/>
            </w:r>
            <w:r>
              <w:t>Option 2: 0.5dB (resulting in same REFSENS as band n255);</w:t>
            </w:r>
          </w:p>
          <w:p>
            <w:pPr>
              <w:pStyle w:val="97"/>
              <w:ind w:left="420" w:leftChars="200" w:firstLine="218" w:firstLineChars="104"/>
              <w:rPr>
                <w:rFonts w:hint="default"/>
                <w:b w:val="0"/>
                <w:bCs w:val="0"/>
                <w:i w:val="0"/>
                <w:iCs w:val="0"/>
                <w:vertAlign w:val="baseline"/>
                <w:lang w:val="en-US" w:eastAsia="zh-CN"/>
              </w:rPr>
            </w:pPr>
            <w:r>
              <w:t>-</w:t>
            </w:r>
            <w:r>
              <w:tab/>
            </w:r>
            <w:r>
              <w:t>Other options are not excluded.</w:t>
            </w: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val="0"/>
          <w:bCs w:val="0"/>
          <w:i w:val="0"/>
          <w:iCs w:val="0"/>
          <w:lang w:val="en-US" w:eastAsia="zh-CN"/>
        </w:rPr>
        <w:t>For the reference sensitivity level of band n254, it can be derived based on current band n256 or n53. Considering the TX-RX frequency separation of band n254 is lager than band n256 and new RF filter can be used for band n254, we prefer to reuse the reference sensitivity of band n53 to define the reference sensitivity of band n254. Therefore, Option 1 defined as Table 2.5-1 is our preference and we can also accept the option 2 which is same REFSENS as band n256.</w:t>
      </w:r>
    </w:p>
    <w:p>
      <w:pPr>
        <w:jc w:val="center"/>
        <w:rPr>
          <w:rFonts w:hint="eastAsia"/>
          <w:b/>
          <w:lang w:eastAsia="zh-CN"/>
        </w:rPr>
      </w:pPr>
      <w:r>
        <w:rPr>
          <w:b/>
          <w:lang w:eastAsia="zh-CN"/>
        </w:rPr>
        <w:t xml:space="preserve">Table </w:t>
      </w:r>
      <w:r>
        <w:rPr>
          <w:rFonts w:hint="eastAsia"/>
          <w:b/>
          <w:lang w:val="en-US" w:eastAsia="zh-CN"/>
        </w:rPr>
        <w:t>2.5-1</w:t>
      </w:r>
      <w:r>
        <w:rPr>
          <w:b/>
          <w:lang w:eastAsia="zh-CN"/>
        </w:rPr>
        <w:t xml:space="preserve">: </w:t>
      </w:r>
      <w:r>
        <w:rPr>
          <w:rFonts w:hint="eastAsia"/>
          <w:b/>
          <w:lang w:eastAsia="zh-CN"/>
        </w:rPr>
        <w:t>Two antenna port reference sensitivity QPSK PREFSENS for FDD bands</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629"/>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9209" w:type="dxa"/>
            <w:gridSpan w:val="12"/>
            <w:tcBorders>
              <w:top w:val="single" w:color="auto" w:sz="4" w:space="0"/>
              <w:left w:val="single" w:color="auto" w:sz="4" w:space="0"/>
              <w:bottom w:val="single" w:color="auto" w:sz="4" w:space="0"/>
              <w:right w:val="single" w:color="auto" w:sz="4" w:space="0"/>
            </w:tcBorders>
            <w:noWrap w:val="0"/>
            <w:vAlign w:val="center"/>
          </w:tcPr>
          <w:p>
            <w:pPr>
              <w:pStyle w:val="36"/>
              <w:rPr>
                <w:rFonts w:eastAsia="PMingLiU"/>
                <w:lang w:val="en-US" w:eastAsia="en-GB"/>
              </w:rPr>
            </w:pPr>
            <w:r>
              <w:rPr>
                <w:rFonts w:eastAsia="PMingLiU"/>
                <w:lang w:val="en-US" w:eastAsia="en-GB"/>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top w:val="single" w:color="auto" w:sz="4" w:space="0"/>
              <w:left w:val="single" w:color="auto" w:sz="4" w:space="0"/>
              <w:bottom w:val="single" w:color="auto" w:sz="4" w:space="0"/>
              <w:right w:val="single" w:color="auto" w:sz="4" w:space="0"/>
            </w:tcBorders>
            <w:noWrap w:val="0"/>
            <w:vAlign w:val="center"/>
          </w:tcPr>
          <w:p>
            <w:pPr>
              <w:pStyle w:val="36"/>
              <w:rPr>
                <w:rFonts w:eastAsia="PMingLiU"/>
                <w:lang w:val="en-US" w:eastAsia="en-GB"/>
              </w:rPr>
            </w:pPr>
            <w:r>
              <w:rPr>
                <w:rFonts w:eastAsia="PMingLiU"/>
                <w:lang w:val="en-US" w:eastAsia="en-GB"/>
              </w:rPr>
              <w:t>Operating Band</w:t>
            </w:r>
          </w:p>
        </w:tc>
        <w:tc>
          <w:tcPr>
            <w:tcW w:w="629" w:type="dxa"/>
            <w:tcBorders>
              <w:top w:val="single" w:color="auto" w:sz="4" w:space="0"/>
              <w:left w:val="single" w:color="auto" w:sz="4" w:space="0"/>
              <w:bottom w:val="single" w:color="auto" w:sz="4" w:space="0"/>
              <w:right w:val="single" w:color="auto" w:sz="4" w:space="0"/>
            </w:tcBorders>
            <w:noWrap w:val="0"/>
            <w:vAlign w:val="center"/>
          </w:tcPr>
          <w:p>
            <w:pPr>
              <w:pStyle w:val="36"/>
              <w:rPr>
                <w:rFonts w:eastAsia="PMingLiU"/>
                <w:lang w:val="en-US" w:eastAsia="en-GB"/>
              </w:rPr>
            </w:pPr>
            <w:r>
              <w:rPr>
                <w:rFonts w:eastAsia="PMingLiU"/>
                <w:lang w:val="en-US" w:eastAsia="en-GB"/>
              </w:rPr>
              <w:t>SCS kHz</w:t>
            </w:r>
          </w:p>
        </w:tc>
        <w:tc>
          <w:tcPr>
            <w:tcW w:w="741" w:type="dxa"/>
            <w:tcBorders>
              <w:top w:val="single" w:color="auto" w:sz="4" w:space="0"/>
              <w:left w:val="single" w:color="auto" w:sz="4" w:space="0"/>
              <w:bottom w:val="single" w:color="auto" w:sz="4" w:space="0"/>
              <w:right w:val="single" w:color="auto" w:sz="4" w:space="0"/>
            </w:tcBorders>
            <w:noWrap w:val="0"/>
            <w:vAlign w:val="center"/>
          </w:tcPr>
          <w:p>
            <w:pPr>
              <w:pStyle w:val="36"/>
              <w:rPr>
                <w:rFonts w:eastAsia="PMingLiU"/>
                <w:lang w:val="en-US" w:eastAsia="en-GB"/>
              </w:rPr>
            </w:pPr>
            <w:r>
              <w:rPr>
                <w:rFonts w:eastAsia="PMingLiU"/>
                <w:lang w:val="en-US" w:eastAsia="en-GB"/>
              </w:rPr>
              <w:t>5</w:t>
            </w:r>
          </w:p>
          <w:p>
            <w:pPr>
              <w:pStyle w:val="36"/>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c>
          <w:tcPr>
            <w:tcW w:w="740" w:type="dxa"/>
            <w:tcBorders>
              <w:top w:val="single" w:color="auto" w:sz="4" w:space="0"/>
              <w:left w:val="single" w:color="auto" w:sz="4" w:space="0"/>
              <w:bottom w:val="single" w:color="auto" w:sz="4" w:space="0"/>
              <w:right w:val="single" w:color="auto" w:sz="4" w:space="0"/>
            </w:tcBorders>
            <w:noWrap w:val="0"/>
            <w:vAlign w:val="center"/>
          </w:tcPr>
          <w:p>
            <w:pPr>
              <w:pStyle w:val="36"/>
              <w:rPr>
                <w:rFonts w:eastAsia="PMingLiU"/>
                <w:lang w:val="en-US" w:eastAsia="en-GB"/>
              </w:rPr>
            </w:pPr>
            <w:r>
              <w:rPr>
                <w:rFonts w:eastAsia="PMingLiU"/>
                <w:lang w:val="en-US" w:eastAsia="en-GB"/>
              </w:rPr>
              <w:t>10</w:t>
            </w:r>
          </w:p>
          <w:p>
            <w:pPr>
              <w:pStyle w:val="36"/>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c>
          <w:tcPr>
            <w:tcW w:w="741" w:type="dxa"/>
            <w:tcBorders>
              <w:top w:val="single" w:color="auto" w:sz="4" w:space="0"/>
              <w:left w:val="single" w:color="auto" w:sz="4" w:space="0"/>
              <w:bottom w:val="single" w:color="auto" w:sz="4" w:space="0"/>
              <w:right w:val="single" w:color="auto" w:sz="4" w:space="0"/>
            </w:tcBorders>
            <w:noWrap w:val="0"/>
            <w:vAlign w:val="center"/>
          </w:tcPr>
          <w:p>
            <w:pPr>
              <w:pStyle w:val="36"/>
              <w:rPr>
                <w:rFonts w:eastAsia="PMingLiU"/>
                <w:lang w:val="en-US" w:eastAsia="en-GB"/>
              </w:rPr>
            </w:pPr>
            <w:r>
              <w:rPr>
                <w:rFonts w:eastAsia="PMingLiU"/>
                <w:lang w:val="en-US" w:eastAsia="en-GB"/>
              </w:rPr>
              <w:t>15</w:t>
            </w:r>
          </w:p>
          <w:p>
            <w:pPr>
              <w:pStyle w:val="36"/>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c>
          <w:tcPr>
            <w:tcW w:w="741" w:type="dxa"/>
            <w:tcBorders>
              <w:top w:val="single" w:color="auto" w:sz="4" w:space="0"/>
              <w:left w:val="single" w:color="auto" w:sz="4" w:space="0"/>
              <w:bottom w:val="single" w:color="auto" w:sz="4" w:space="0"/>
              <w:right w:val="single" w:color="auto" w:sz="4" w:space="0"/>
            </w:tcBorders>
            <w:noWrap w:val="0"/>
            <w:vAlign w:val="center"/>
          </w:tcPr>
          <w:p>
            <w:pPr>
              <w:pStyle w:val="36"/>
              <w:rPr>
                <w:rFonts w:eastAsia="PMingLiU"/>
                <w:lang w:val="en-US" w:eastAsia="en-GB"/>
              </w:rPr>
            </w:pPr>
            <w:r>
              <w:rPr>
                <w:rFonts w:eastAsia="PMingLiU"/>
                <w:lang w:val="en-US" w:eastAsia="en-GB"/>
              </w:rPr>
              <w:t>20</w:t>
            </w:r>
          </w:p>
          <w:p>
            <w:pPr>
              <w:pStyle w:val="36"/>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c>
          <w:tcPr>
            <w:tcW w:w="740" w:type="dxa"/>
            <w:tcBorders>
              <w:top w:val="single" w:color="auto" w:sz="4" w:space="0"/>
              <w:left w:val="single" w:color="auto" w:sz="4" w:space="0"/>
              <w:bottom w:val="single" w:color="auto" w:sz="4" w:space="0"/>
              <w:right w:val="single" w:color="auto" w:sz="4" w:space="0"/>
            </w:tcBorders>
            <w:noWrap w:val="0"/>
            <w:vAlign w:val="center"/>
          </w:tcPr>
          <w:p>
            <w:pPr>
              <w:pStyle w:val="36"/>
              <w:rPr>
                <w:rFonts w:eastAsia="PMingLiU"/>
                <w:lang w:val="en-US" w:eastAsia="en-GB"/>
              </w:rPr>
            </w:pPr>
            <w:r>
              <w:rPr>
                <w:rFonts w:eastAsia="PMingLiU"/>
                <w:lang w:val="en-US" w:eastAsia="en-GB"/>
              </w:rPr>
              <w:t>25</w:t>
            </w:r>
          </w:p>
          <w:p>
            <w:pPr>
              <w:pStyle w:val="36"/>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c>
          <w:tcPr>
            <w:tcW w:w="741" w:type="dxa"/>
            <w:tcBorders>
              <w:top w:val="single" w:color="auto" w:sz="4" w:space="0"/>
              <w:left w:val="single" w:color="auto" w:sz="4" w:space="0"/>
              <w:bottom w:val="single" w:color="auto" w:sz="4" w:space="0"/>
              <w:right w:val="single" w:color="auto" w:sz="4" w:space="0"/>
            </w:tcBorders>
            <w:noWrap w:val="0"/>
            <w:vAlign w:val="center"/>
          </w:tcPr>
          <w:p>
            <w:pPr>
              <w:pStyle w:val="36"/>
              <w:rPr>
                <w:rFonts w:eastAsia="PMingLiU"/>
                <w:lang w:val="en-US" w:eastAsia="en-GB"/>
              </w:rPr>
            </w:pPr>
            <w:r>
              <w:rPr>
                <w:rFonts w:eastAsia="PMingLiU"/>
                <w:lang w:val="en-US" w:eastAsia="en-GB"/>
              </w:rPr>
              <w:t>30 MHz (dBm)</w:t>
            </w:r>
          </w:p>
        </w:tc>
        <w:tc>
          <w:tcPr>
            <w:tcW w:w="741" w:type="dxa"/>
            <w:tcBorders>
              <w:top w:val="single" w:color="auto" w:sz="4" w:space="0"/>
              <w:left w:val="single" w:color="auto" w:sz="4" w:space="0"/>
              <w:bottom w:val="single" w:color="auto" w:sz="4" w:space="0"/>
              <w:right w:val="single" w:color="auto" w:sz="4" w:space="0"/>
            </w:tcBorders>
            <w:noWrap w:val="0"/>
            <w:vAlign w:val="center"/>
          </w:tcPr>
          <w:p>
            <w:pPr>
              <w:pStyle w:val="36"/>
              <w:rPr>
                <w:rFonts w:eastAsia="PMingLiU"/>
                <w:lang w:val="en-US" w:eastAsia="en-GB"/>
              </w:rPr>
            </w:pPr>
            <w:r>
              <w:rPr>
                <w:rFonts w:eastAsia="PMingLiU"/>
                <w:lang w:val="en-US" w:eastAsia="en-GB"/>
              </w:rPr>
              <w:t>35 MHz (dBm)</w:t>
            </w:r>
          </w:p>
        </w:tc>
        <w:tc>
          <w:tcPr>
            <w:tcW w:w="740" w:type="dxa"/>
            <w:tcBorders>
              <w:top w:val="single" w:color="auto" w:sz="4" w:space="0"/>
              <w:left w:val="single" w:color="auto" w:sz="4" w:space="0"/>
              <w:bottom w:val="single" w:color="auto" w:sz="4" w:space="0"/>
              <w:right w:val="single" w:color="auto" w:sz="4" w:space="0"/>
            </w:tcBorders>
            <w:noWrap w:val="0"/>
            <w:vAlign w:val="center"/>
          </w:tcPr>
          <w:p>
            <w:pPr>
              <w:pStyle w:val="36"/>
              <w:rPr>
                <w:rFonts w:eastAsia="PMingLiU"/>
                <w:lang w:val="en-US" w:eastAsia="en-GB"/>
              </w:rPr>
            </w:pPr>
            <w:r>
              <w:rPr>
                <w:rFonts w:eastAsia="PMingLiU"/>
                <w:lang w:val="en-US" w:eastAsia="en-GB"/>
              </w:rPr>
              <w:t>40</w:t>
            </w:r>
          </w:p>
          <w:p>
            <w:pPr>
              <w:pStyle w:val="36"/>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c>
          <w:tcPr>
            <w:tcW w:w="741" w:type="dxa"/>
            <w:tcBorders>
              <w:top w:val="single" w:color="auto" w:sz="4" w:space="0"/>
              <w:left w:val="single" w:color="auto" w:sz="4" w:space="0"/>
              <w:bottom w:val="single" w:color="auto" w:sz="4" w:space="0"/>
              <w:right w:val="single" w:color="auto" w:sz="4" w:space="0"/>
            </w:tcBorders>
            <w:noWrap w:val="0"/>
            <w:vAlign w:val="center"/>
          </w:tcPr>
          <w:p>
            <w:pPr>
              <w:pStyle w:val="36"/>
              <w:rPr>
                <w:rFonts w:eastAsia="PMingLiU"/>
                <w:lang w:val="en-US" w:eastAsia="en-GB"/>
              </w:rPr>
            </w:pPr>
            <w:r>
              <w:rPr>
                <w:rFonts w:eastAsia="PMingLiU"/>
                <w:lang w:val="en-US" w:eastAsia="en-GB"/>
              </w:rPr>
              <w:t>45 MHz (dBm)</w:t>
            </w:r>
          </w:p>
        </w:tc>
        <w:tc>
          <w:tcPr>
            <w:tcW w:w="814" w:type="dxa"/>
            <w:tcBorders>
              <w:top w:val="single" w:color="auto" w:sz="4" w:space="0"/>
              <w:left w:val="single" w:color="auto" w:sz="4" w:space="0"/>
              <w:bottom w:val="single" w:color="auto" w:sz="4" w:space="0"/>
              <w:right w:val="single" w:color="auto" w:sz="4" w:space="0"/>
            </w:tcBorders>
            <w:noWrap w:val="0"/>
            <w:vAlign w:val="center"/>
          </w:tcPr>
          <w:p>
            <w:pPr>
              <w:pStyle w:val="36"/>
              <w:rPr>
                <w:rFonts w:eastAsia="PMingLiU"/>
                <w:lang w:val="en-US" w:eastAsia="en-GB"/>
              </w:rPr>
            </w:pPr>
            <w:r>
              <w:rPr>
                <w:rFonts w:eastAsia="PMingLiU"/>
                <w:lang w:val="en-US" w:eastAsia="en-GB"/>
              </w:rPr>
              <w:t>50</w:t>
            </w:r>
          </w:p>
          <w:p>
            <w:pPr>
              <w:pStyle w:val="36"/>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tcBorders>
              <w:top w:val="single" w:color="auto" w:sz="4" w:space="0"/>
              <w:left w:val="single" w:color="auto" w:sz="4" w:space="0"/>
              <w:bottom w:val="single" w:color="auto" w:sz="4" w:space="0"/>
              <w:right w:val="single" w:color="auto" w:sz="4" w:space="0"/>
            </w:tcBorders>
            <w:noWrap w:val="0"/>
            <w:vAlign w:val="center"/>
          </w:tcPr>
          <w:p>
            <w:pPr>
              <w:pStyle w:val="37"/>
              <w:rPr>
                <w:rFonts w:hint="eastAsia" w:eastAsia="宋体"/>
                <w:lang w:val="en-US" w:eastAsia="zh-CN"/>
              </w:rPr>
            </w:pPr>
            <w:r>
              <w:rPr>
                <w:rFonts w:eastAsia="PMingLiU"/>
                <w:lang w:val="en-US" w:eastAsia="en-GB"/>
              </w:rPr>
              <w:t>n25</w:t>
            </w:r>
            <w:r>
              <w:rPr>
                <w:rFonts w:hint="eastAsia" w:eastAsia="宋体"/>
                <w:lang w:val="en-US" w:eastAsia="zh-CN"/>
              </w:rPr>
              <w:t>4</w:t>
            </w:r>
          </w:p>
        </w:tc>
        <w:tc>
          <w:tcPr>
            <w:tcW w:w="629"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r>
              <w:rPr>
                <w:rFonts w:eastAsia="PMingLiU"/>
                <w:lang w:val="en-US" w:eastAsia="en-GB"/>
              </w:rPr>
              <w:t>15</w:t>
            </w:r>
          </w:p>
        </w:tc>
        <w:tc>
          <w:tcPr>
            <w:tcW w:w="741"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r>
              <w:rPr>
                <w:rFonts w:eastAsia="PMingLiU" w:cs="Arial"/>
                <w:szCs w:val="18"/>
                <w:lang w:eastAsia="en-GB"/>
              </w:rPr>
              <w:t>-100.0</w:t>
            </w:r>
          </w:p>
        </w:tc>
        <w:tc>
          <w:tcPr>
            <w:tcW w:w="740"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r>
              <w:rPr>
                <w:rFonts w:eastAsia="PMingLiU" w:cs="Arial"/>
                <w:szCs w:val="18"/>
                <w:lang w:eastAsia="en-GB"/>
              </w:rPr>
              <w:t>-96.8</w:t>
            </w:r>
          </w:p>
        </w:tc>
        <w:tc>
          <w:tcPr>
            <w:tcW w:w="741"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r>
              <w:rPr>
                <w:rFonts w:eastAsia="PMingLiU" w:cs="Arial"/>
                <w:szCs w:val="18"/>
                <w:lang w:eastAsia="en-GB"/>
              </w:rPr>
              <w:t>-95.0</w:t>
            </w:r>
          </w:p>
        </w:tc>
        <w:tc>
          <w:tcPr>
            <w:tcW w:w="741"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rFonts w:ascii="Arial" w:hAnsi="Arial" w:eastAsia="PMingLiU"/>
                <w:sz w:val="18"/>
                <w:lang w:val="en-US" w:eastAsia="en-GB"/>
              </w:rPr>
            </w:pPr>
          </w:p>
        </w:tc>
        <w:tc>
          <w:tcPr>
            <w:tcW w:w="629"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r>
              <w:rPr>
                <w:rFonts w:eastAsia="PMingLiU"/>
                <w:lang w:val="en-US" w:eastAsia="en-GB"/>
              </w:rPr>
              <w:t>30</w:t>
            </w:r>
          </w:p>
        </w:tc>
        <w:tc>
          <w:tcPr>
            <w:tcW w:w="741"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r>
              <w:rPr>
                <w:rFonts w:eastAsia="PMingLiU" w:cs="Arial"/>
                <w:szCs w:val="18"/>
                <w:lang w:eastAsia="en-GB"/>
              </w:rPr>
              <w:t>-97.1</w:t>
            </w:r>
          </w:p>
        </w:tc>
        <w:tc>
          <w:tcPr>
            <w:tcW w:w="741"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r>
              <w:rPr>
                <w:rFonts w:eastAsia="PMingLiU" w:cs="Arial"/>
                <w:szCs w:val="18"/>
                <w:lang w:eastAsia="en-GB"/>
              </w:rPr>
              <w:t>-95.1</w:t>
            </w:r>
          </w:p>
        </w:tc>
        <w:tc>
          <w:tcPr>
            <w:tcW w:w="741"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rFonts w:ascii="Arial" w:hAnsi="Arial" w:eastAsia="PMingLiU"/>
                <w:sz w:val="18"/>
                <w:lang w:val="en-US" w:eastAsia="en-GB"/>
              </w:rPr>
            </w:pPr>
          </w:p>
        </w:tc>
        <w:tc>
          <w:tcPr>
            <w:tcW w:w="629"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r>
              <w:rPr>
                <w:rFonts w:eastAsia="PMingLiU"/>
                <w:lang w:val="en-US" w:eastAsia="en-GB"/>
              </w:rPr>
              <w:t>60</w:t>
            </w:r>
          </w:p>
        </w:tc>
        <w:tc>
          <w:tcPr>
            <w:tcW w:w="741"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r>
              <w:rPr>
                <w:rFonts w:eastAsia="PMingLiU" w:cs="Arial"/>
                <w:szCs w:val="18"/>
                <w:lang w:eastAsia="en-GB"/>
              </w:rPr>
              <w:t>-97.5</w:t>
            </w:r>
          </w:p>
        </w:tc>
        <w:tc>
          <w:tcPr>
            <w:tcW w:w="741"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r>
              <w:rPr>
                <w:rFonts w:eastAsia="PMingLiU" w:cs="Arial"/>
                <w:szCs w:val="18"/>
                <w:lang w:eastAsia="en-GB"/>
              </w:rPr>
              <w:t>-95.4</w:t>
            </w:r>
          </w:p>
        </w:tc>
        <w:tc>
          <w:tcPr>
            <w:tcW w:w="741"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noWrap w:val="0"/>
            <w:vAlign w:val="top"/>
          </w:tcPr>
          <w:p>
            <w:pPr>
              <w:pStyle w:val="37"/>
              <w:rPr>
                <w:rFonts w:eastAsia="PMingLiU"/>
                <w:lang w:val="en-US" w:eastAsia="en-GB"/>
              </w:rPr>
            </w:pP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bCs/>
          <w:i w:val="0"/>
          <w:iCs w:val="0"/>
          <w:lang w:val="en-US" w:eastAsia="zh-CN"/>
        </w:rPr>
        <w:t xml:space="preserve">Proposal 5: </w:t>
      </w:r>
      <w:r>
        <w:rPr>
          <w:rFonts w:hint="eastAsia"/>
          <w:b w:val="0"/>
          <w:bCs w:val="0"/>
          <w:i w:val="0"/>
          <w:iCs w:val="0"/>
          <w:lang w:val="en-US" w:eastAsia="zh-CN"/>
        </w:rPr>
        <w:t>For the reference sensitivity of the new NTN FDD band, we prefer to option 1 which is same REFSENS as band n53.</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 xml:space="preserve">2.6 </w:t>
      </w:r>
      <w:r>
        <w:rPr>
          <w:rFonts w:hint="default" w:ascii="Arial" w:hAnsi="Arial" w:cs="Arial"/>
          <w:sz w:val="28"/>
          <w:szCs w:val="28"/>
          <w:lang w:val="en-US" w:eastAsia="zh-CN"/>
        </w:rPr>
        <w:t>Out-of-band blocking requirements</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val="0"/>
          <w:bCs w:val="0"/>
          <w:i w:val="0"/>
          <w:iCs w:val="0"/>
          <w:lang w:val="en-US" w:eastAsia="zh-CN"/>
        </w:rPr>
        <w:t>For out-of-band blocking requirements of n254, the general requirements for NR bands with F</w:t>
      </w:r>
      <w:r>
        <w:rPr>
          <w:rFonts w:hint="eastAsia"/>
          <w:b w:val="0"/>
          <w:bCs w:val="0"/>
          <w:i w:val="0"/>
          <w:iCs w:val="0"/>
          <w:vertAlign w:val="subscript"/>
          <w:lang w:val="en-US" w:eastAsia="zh-CN"/>
        </w:rPr>
        <w:t>DL_high</w:t>
      </w:r>
      <w:r>
        <w:rPr>
          <w:rFonts w:hint="eastAsia"/>
          <w:b w:val="0"/>
          <w:bCs w:val="0"/>
          <w:i w:val="0"/>
          <w:iCs w:val="0"/>
          <w:lang w:val="en-US" w:eastAsia="zh-CN"/>
        </w:rPr>
        <w:t xml:space="preserve"> &lt; 2700 MHz and F</w:t>
      </w:r>
      <w:r>
        <w:rPr>
          <w:rFonts w:hint="eastAsia"/>
          <w:b w:val="0"/>
          <w:bCs w:val="0"/>
          <w:i w:val="0"/>
          <w:iCs w:val="0"/>
          <w:vertAlign w:val="subscript"/>
          <w:lang w:val="en-US" w:eastAsia="zh-CN"/>
        </w:rPr>
        <w:t>UL_high</w:t>
      </w:r>
      <w:r>
        <w:rPr>
          <w:rFonts w:hint="eastAsia"/>
          <w:b w:val="0"/>
          <w:bCs w:val="0"/>
          <w:i w:val="0"/>
          <w:iCs w:val="0"/>
          <w:lang w:val="en-US" w:eastAsia="zh-CN"/>
        </w:rPr>
        <w:t xml:space="preserve"> &lt; 2700 MHz can be reused. Out-of-band blocking requirements for band n53 and band n255 also used this general requirements. Therefore, for band n254, the out-of-band blocking requirements can be specified in Table 2.6-1.</w:t>
      </w:r>
    </w:p>
    <w:p>
      <w:pPr>
        <w:pStyle w:val="46"/>
      </w:pPr>
      <w:r>
        <w:t xml:space="preserve">Table </w:t>
      </w:r>
      <w:r>
        <w:rPr>
          <w:rFonts w:hint="eastAsia"/>
          <w:lang w:val="en-US" w:eastAsia="zh-CN"/>
        </w:rPr>
        <w:t>2.6-1</w:t>
      </w:r>
      <w:r>
        <w:t>: Out of-band blocking for NR satellite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Style w:val="25"/>
        <w:tblW w:w="9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8"/>
        <w:gridCol w:w="799"/>
        <w:gridCol w:w="1939"/>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36"/>
              <w:rPr>
                <w:highlight w:val="yellow"/>
              </w:rPr>
            </w:pPr>
            <w:r>
              <w:rPr>
                <w:rFonts w:eastAsia="PMingLiU"/>
                <w:lang w:val="en-US"/>
              </w:rPr>
              <w:t>Operating Band</w:t>
            </w:r>
          </w:p>
        </w:tc>
        <w:tc>
          <w:tcPr>
            <w:tcW w:w="1488" w:type="dxa"/>
            <w:tcBorders>
              <w:top w:val="single" w:color="auto" w:sz="4" w:space="0"/>
              <w:left w:val="single" w:color="auto" w:sz="4" w:space="0"/>
              <w:bottom w:val="single" w:color="auto" w:sz="4" w:space="0"/>
              <w:right w:val="single" w:color="auto" w:sz="4" w:space="0"/>
            </w:tcBorders>
          </w:tcPr>
          <w:p>
            <w:pPr>
              <w:pStyle w:val="36"/>
            </w:pPr>
            <w:r>
              <w:t>Parameter</w:t>
            </w:r>
          </w:p>
        </w:tc>
        <w:tc>
          <w:tcPr>
            <w:tcW w:w="799" w:type="dxa"/>
            <w:tcBorders>
              <w:top w:val="single" w:color="auto" w:sz="4" w:space="0"/>
              <w:left w:val="single" w:color="auto" w:sz="4" w:space="0"/>
              <w:bottom w:val="single" w:color="auto" w:sz="4" w:space="0"/>
              <w:right w:val="single" w:color="auto" w:sz="4" w:space="0"/>
            </w:tcBorders>
          </w:tcPr>
          <w:p>
            <w:pPr>
              <w:pStyle w:val="36"/>
            </w:pPr>
            <w:r>
              <w:t>Unit</w:t>
            </w:r>
          </w:p>
        </w:tc>
        <w:tc>
          <w:tcPr>
            <w:tcW w:w="1939" w:type="dxa"/>
            <w:tcBorders>
              <w:top w:val="single" w:color="auto" w:sz="4" w:space="0"/>
              <w:left w:val="single" w:color="auto" w:sz="4" w:space="0"/>
              <w:bottom w:val="single" w:color="auto" w:sz="4" w:space="0"/>
              <w:right w:val="single" w:color="auto" w:sz="4" w:space="0"/>
            </w:tcBorders>
          </w:tcPr>
          <w:p>
            <w:pPr>
              <w:pStyle w:val="36"/>
            </w:pPr>
            <w:r>
              <w:t>Range 1</w:t>
            </w:r>
          </w:p>
        </w:tc>
        <w:tc>
          <w:tcPr>
            <w:tcW w:w="1939" w:type="dxa"/>
            <w:tcBorders>
              <w:top w:val="single" w:color="auto" w:sz="4" w:space="0"/>
              <w:left w:val="single" w:color="auto" w:sz="4" w:space="0"/>
              <w:bottom w:val="single" w:color="auto" w:sz="4" w:space="0"/>
              <w:right w:val="single" w:color="auto" w:sz="4" w:space="0"/>
            </w:tcBorders>
          </w:tcPr>
          <w:p>
            <w:pPr>
              <w:pStyle w:val="36"/>
            </w:pPr>
            <w:r>
              <w:t>Range 2</w:t>
            </w:r>
          </w:p>
        </w:tc>
        <w:tc>
          <w:tcPr>
            <w:tcW w:w="1939" w:type="dxa"/>
            <w:tcBorders>
              <w:top w:val="single" w:color="auto" w:sz="4" w:space="0"/>
              <w:left w:val="single" w:color="auto" w:sz="4" w:space="0"/>
              <w:bottom w:val="single" w:color="auto" w:sz="4" w:space="0"/>
              <w:right w:val="single" w:color="auto" w:sz="4" w:space="0"/>
            </w:tcBorders>
          </w:tcPr>
          <w:p>
            <w:pPr>
              <w:pStyle w:val="36"/>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37"/>
              <w:rPr>
                <w:highlight w:val="yellow"/>
              </w:rPr>
            </w:pPr>
          </w:p>
        </w:tc>
        <w:tc>
          <w:tcPr>
            <w:tcW w:w="1488" w:type="dxa"/>
            <w:tcBorders>
              <w:top w:val="single" w:color="auto" w:sz="4" w:space="0"/>
              <w:left w:val="single" w:color="auto" w:sz="4" w:space="0"/>
              <w:bottom w:val="single" w:color="auto" w:sz="4" w:space="0"/>
              <w:right w:val="single" w:color="auto" w:sz="4" w:space="0"/>
            </w:tcBorders>
          </w:tcPr>
          <w:p>
            <w:pPr>
              <w:pStyle w:val="37"/>
              <w:rPr>
                <w:lang w:val="sv-SE"/>
              </w:rPr>
            </w:pPr>
            <w:r>
              <w:rPr>
                <w:lang w:val="sv-SE"/>
              </w:rPr>
              <w:t>P</w:t>
            </w:r>
            <w:r>
              <w:rPr>
                <w:vertAlign w:val="subscript"/>
                <w:lang w:val="sv-SE"/>
              </w:rPr>
              <w:t>interferer</w:t>
            </w:r>
          </w:p>
        </w:tc>
        <w:tc>
          <w:tcPr>
            <w:tcW w:w="799" w:type="dxa"/>
            <w:tcBorders>
              <w:top w:val="single" w:color="auto" w:sz="4" w:space="0"/>
              <w:left w:val="single" w:color="auto" w:sz="4" w:space="0"/>
              <w:bottom w:val="single" w:color="auto" w:sz="4" w:space="0"/>
              <w:right w:val="single" w:color="auto" w:sz="4" w:space="0"/>
            </w:tcBorders>
          </w:tcPr>
          <w:p>
            <w:pPr>
              <w:pStyle w:val="37"/>
              <w:rPr>
                <w:lang w:val="sv-SE"/>
              </w:rPr>
            </w:pPr>
            <w:r>
              <w:rPr>
                <w:lang w:val="sv-SE"/>
              </w:rPr>
              <w:t>dBm</w:t>
            </w:r>
          </w:p>
        </w:tc>
        <w:tc>
          <w:tcPr>
            <w:tcW w:w="1939" w:type="dxa"/>
            <w:tcBorders>
              <w:top w:val="single" w:color="auto" w:sz="4" w:space="0"/>
              <w:left w:val="single" w:color="auto" w:sz="4" w:space="0"/>
              <w:bottom w:val="single" w:color="auto" w:sz="4" w:space="0"/>
              <w:right w:val="single" w:color="auto" w:sz="4" w:space="0"/>
            </w:tcBorders>
          </w:tcPr>
          <w:p>
            <w:pPr>
              <w:pStyle w:val="37"/>
            </w:pPr>
            <w:r>
              <w:t>-44</w:t>
            </w:r>
          </w:p>
        </w:tc>
        <w:tc>
          <w:tcPr>
            <w:tcW w:w="1939" w:type="dxa"/>
            <w:tcBorders>
              <w:top w:val="single" w:color="auto" w:sz="4" w:space="0"/>
              <w:left w:val="single" w:color="auto" w:sz="4" w:space="0"/>
              <w:bottom w:val="single" w:color="auto" w:sz="4" w:space="0"/>
              <w:right w:val="single" w:color="auto" w:sz="4" w:space="0"/>
            </w:tcBorders>
          </w:tcPr>
          <w:p>
            <w:pPr>
              <w:pStyle w:val="37"/>
            </w:pPr>
            <w:r>
              <w:t>-30</w:t>
            </w:r>
          </w:p>
        </w:tc>
        <w:tc>
          <w:tcPr>
            <w:tcW w:w="1939" w:type="dxa"/>
            <w:tcBorders>
              <w:top w:val="single" w:color="auto" w:sz="4" w:space="0"/>
              <w:left w:val="single" w:color="auto" w:sz="4" w:space="0"/>
              <w:bottom w:val="single" w:color="auto" w:sz="4" w:space="0"/>
              <w:right w:val="single" w:color="auto" w:sz="4" w:space="0"/>
            </w:tcBorders>
          </w:tcPr>
          <w:p>
            <w:pPr>
              <w:pStyle w:val="37"/>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37"/>
              <w:rPr>
                <w:rFonts w:hint="default" w:eastAsia="宋体"/>
                <w:lang w:val="en-US" w:eastAsia="zh-CN"/>
              </w:rPr>
            </w:pPr>
            <w:r>
              <w:rPr>
                <w:rFonts w:hint="eastAsia" w:eastAsia="宋体"/>
                <w:lang w:val="en-US" w:eastAsia="zh-CN"/>
              </w:rPr>
              <w:t>n254</w:t>
            </w:r>
          </w:p>
        </w:tc>
        <w:tc>
          <w:tcPr>
            <w:tcW w:w="1488" w:type="dxa"/>
            <w:tcBorders>
              <w:top w:val="single" w:color="auto" w:sz="4" w:space="0"/>
              <w:left w:val="single" w:color="auto" w:sz="4" w:space="0"/>
              <w:bottom w:val="single" w:color="auto" w:sz="4" w:space="0"/>
              <w:right w:val="single" w:color="auto" w:sz="4" w:space="0"/>
            </w:tcBorders>
          </w:tcPr>
          <w:p>
            <w:pPr>
              <w:pStyle w:val="37"/>
              <w:rPr>
                <w:lang w:val="sv-SE"/>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tcPr>
          <w:p>
            <w:pPr>
              <w:pStyle w:val="37"/>
              <w:rPr>
                <w:lang w:val="sv-SE"/>
              </w:rPr>
            </w:pPr>
            <w:r>
              <w:rPr>
                <w:lang w:val="sv-SE"/>
              </w:rPr>
              <w:t>MHz</w:t>
            </w:r>
          </w:p>
        </w:tc>
        <w:tc>
          <w:tcPr>
            <w:tcW w:w="1939" w:type="dxa"/>
            <w:tcBorders>
              <w:top w:val="single" w:color="auto" w:sz="4" w:space="0"/>
              <w:left w:val="single" w:color="auto" w:sz="4" w:space="0"/>
              <w:bottom w:val="single" w:color="auto" w:sz="4" w:space="0"/>
              <w:right w:val="single" w:color="auto" w:sz="4" w:space="0"/>
            </w:tcBorders>
          </w:tcPr>
          <w:p>
            <w:pPr>
              <w:pStyle w:val="37"/>
              <w:rPr>
                <w:rFonts w:cs="Arial"/>
              </w:rPr>
            </w:pPr>
            <w:r>
              <w:rPr>
                <w:rFonts w:cs="Arial"/>
              </w:rPr>
              <w:t>-60 &lt; f – F</w:t>
            </w:r>
            <w:r>
              <w:rPr>
                <w:rFonts w:cs="Arial"/>
                <w:vertAlign w:val="subscript"/>
              </w:rPr>
              <w:t>DL_low</w:t>
            </w:r>
            <w:r>
              <w:rPr>
                <w:rFonts w:cs="Arial"/>
              </w:rPr>
              <w:t xml:space="preserve"> &lt; -15</w:t>
            </w:r>
          </w:p>
          <w:p>
            <w:pPr>
              <w:pStyle w:val="37"/>
              <w:rPr>
                <w:rFonts w:cs="Arial"/>
              </w:rPr>
            </w:pPr>
            <w:r>
              <w:rPr>
                <w:rFonts w:cs="Arial"/>
              </w:rPr>
              <w:t>or</w:t>
            </w:r>
          </w:p>
          <w:p>
            <w:pPr>
              <w:pStyle w:val="37"/>
              <w:rPr>
                <w:rFonts w:cs="Arial"/>
              </w:rPr>
            </w:pPr>
            <w:r>
              <w:rPr>
                <w:rFonts w:cs="Arial"/>
              </w:rPr>
              <w:t>15 &lt; f – F</w:t>
            </w:r>
            <w:r>
              <w:rPr>
                <w:rFonts w:cs="Arial"/>
                <w:vertAlign w:val="subscript"/>
              </w:rPr>
              <w:t>DL_high</w:t>
            </w:r>
            <w:r>
              <w:rPr>
                <w:rFonts w:cs="Arial"/>
              </w:rPr>
              <w:t xml:space="preserve"> &lt; 60</w:t>
            </w:r>
          </w:p>
        </w:tc>
        <w:tc>
          <w:tcPr>
            <w:tcW w:w="1939" w:type="dxa"/>
            <w:tcBorders>
              <w:top w:val="single" w:color="auto" w:sz="4" w:space="0"/>
              <w:left w:val="single" w:color="auto" w:sz="4" w:space="0"/>
              <w:bottom w:val="single" w:color="auto" w:sz="4" w:space="0"/>
              <w:right w:val="single" w:color="auto" w:sz="4" w:space="0"/>
            </w:tcBorders>
          </w:tcPr>
          <w:p>
            <w:pPr>
              <w:pStyle w:val="37"/>
              <w:rPr>
                <w:rFonts w:cs="Arial"/>
              </w:rPr>
            </w:pPr>
            <w:r>
              <w:rPr>
                <w:rFonts w:cs="Arial"/>
              </w:rPr>
              <w:t>-85 &lt; f – F</w:t>
            </w:r>
            <w:r>
              <w:rPr>
                <w:rFonts w:cs="Arial"/>
                <w:vertAlign w:val="subscript"/>
              </w:rPr>
              <w:t>DL_low</w:t>
            </w:r>
            <w:r>
              <w:rPr>
                <w:rFonts w:cs="Arial"/>
              </w:rPr>
              <w:t xml:space="preserve"> ≤ -60</w:t>
            </w:r>
          </w:p>
          <w:p>
            <w:pPr>
              <w:pStyle w:val="37"/>
              <w:rPr>
                <w:rFonts w:cs="Arial"/>
              </w:rPr>
            </w:pPr>
            <w:r>
              <w:rPr>
                <w:rFonts w:cs="Arial"/>
              </w:rPr>
              <w:t>or</w:t>
            </w:r>
          </w:p>
          <w:p>
            <w:pPr>
              <w:pStyle w:val="37"/>
              <w:rPr>
                <w:rFonts w:cs="Arial"/>
              </w:rPr>
            </w:pPr>
            <w:r>
              <w:rPr>
                <w:rFonts w:cs="Arial"/>
              </w:rPr>
              <w:t>60 ≤ f – F</w:t>
            </w:r>
            <w:r>
              <w:rPr>
                <w:rFonts w:cs="Arial"/>
                <w:vertAlign w:val="subscript"/>
              </w:rPr>
              <w:t>DL_high</w:t>
            </w:r>
            <w:r>
              <w:rPr>
                <w:rFonts w:cs="Arial"/>
              </w:rPr>
              <w:t xml:space="preserve"> &lt; 85</w:t>
            </w:r>
          </w:p>
        </w:tc>
        <w:tc>
          <w:tcPr>
            <w:tcW w:w="1939" w:type="dxa"/>
            <w:tcBorders>
              <w:top w:val="single" w:color="auto" w:sz="4" w:space="0"/>
              <w:left w:val="single" w:color="auto" w:sz="4" w:space="0"/>
              <w:bottom w:val="single" w:color="auto" w:sz="4" w:space="0"/>
              <w:right w:val="single" w:color="auto" w:sz="4" w:space="0"/>
            </w:tcBorders>
          </w:tcPr>
          <w:p>
            <w:pPr>
              <w:pStyle w:val="37"/>
              <w:rPr>
                <w:rFonts w:cs="Arial"/>
              </w:rPr>
            </w:pPr>
            <w:r>
              <w:rPr>
                <w:rFonts w:cs="Arial"/>
              </w:rPr>
              <w:t>1 ≤ f ≤ F</w:t>
            </w:r>
            <w:r>
              <w:rPr>
                <w:rFonts w:cs="Arial"/>
                <w:vertAlign w:val="subscript"/>
              </w:rPr>
              <w:t>DL_low</w:t>
            </w:r>
            <w:r>
              <w:rPr>
                <w:rFonts w:cs="Arial"/>
              </w:rPr>
              <w:t xml:space="preserve"> – 85</w:t>
            </w:r>
          </w:p>
          <w:p>
            <w:pPr>
              <w:pStyle w:val="37"/>
              <w:rPr>
                <w:rFonts w:cs="Arial"/>
              </w:rPr>
            </w:pPr>
            <w:r>
              <w:rPr>
                <w:rFonts w:cs="Arial"/>
              </w:rPr>
              <w:t>or</w:t>
            </w:r>
          </w:p>
          <w:p>
            <w:pPr>
              <w:pStyle w:val="37"/>
              <w:rPr>
                <w:rFonts w:cs="Arial"/>
              </w:rPr>
            </w:pPr>
            <w:r>
              <w:rPr>
                <w:rFonts w:cs="Arial"/>
              </w:rPr>
              <w:t>F</w:t>
            </w:r>
            <w:r>
              <w:rPr>
                <w:rFonts w:cs="Arial"/>
                <w:vertAlign w:val="subscript"/>
              </w:rPr>
              <w:t>DL_high</w:t>
            </w:r>
            <w:r>
              <w:rPr>
                <w:rFonts w:cs="Arial"/>
              </w:rPr>
              <w:t xml:space="preserve"> + 85 ≤ f</w:t>
            </w:r>
          </w:p>
          <w:p>
            <w:pPr>
              <w:pStyle w:val="37"/>
              <w:rPr>
                <w:rFonts w:cs="Arial"/>
              </w:rPr>
            </w:pPr>
            <w:r>
              <w:rPr>
                <w:rFonts w:cs="Arial"/>
              </w:rPr>
              <w:t>≤ 12750</w:t>
            </w: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bCs/>
          <w:i w:val="0"/>
          <w:iCs w:val="0"/>
          <w:lang w:val="en-US" w:eastAsia="zh-CN"/>
        </w:rPr>
        <w:t xml:space="preserve">Proposal 6: </w:t>
      </w:r>
      <w:r>
        <w:rPr>
          <w:rFonts w:hint="eastAsia"/>
          <w:b w:val="0"/>
          <w:bCs w:val="0"/>
          <w:i w:val="0"/>
          <w:iCs w:val="0"/>
          <w:lang w:val="en-US" w:eastAsia="zh-CN"/>
        </w:rPr>
        <w:t>For the new NTN FDD band, the out-of-band blocking requirements can be specified in Table 2.6-1.</w:t>
      </w:r>
    </w:p>
    <w:bookmarkEnd w:id="3"/>
    <w:bookmarkEnd w:id="4"/>
    <w:bookmarkEnd w:id="5"/>
    <w:bookmarkEnd w:id="6"/>
    <w:p>
      <w:pPr>
        <w:pStyle w:val="56"/>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we want to</w:t>
      </w:r>
      <w:r>
        <w:rPr>
          <w:rFonts w:hint="eastAsia"/>
          <w:lang w:val="en-US" w:eastAsia="zh-CN"/>
        </w:rPr>
        <w:t xml:space="preserve"> </w:t>
      </w:r>
      <w:r>
        <w:rPr>
          <w:rFonts w:hint="eastAsia" w:eastAsia="宋体"/>
          <w:lang w:val="en-US" w:eastAsia="zh-CN"/>
        </w:rPr>
        <w:t xml:space="preserve">share some </w:t>
      </w:r>
      <w:r>
        <w:rPr>
          <w:rFonts w:hint="eastAsia"/>
          <w:lang w:val="en-US" w:eastAsia="zh-CN"/>
        </w:rPr>
        <w:t>further</w:t>
      </w:r>
      <w:r>
        <w:rPr>
          <w:rFonts w:hint="eastAsia" w:eastAsia="宋体"/>
          <w:lang w:val="en-US" w:eastAsia="zh-CN"/>
        </w:rPr>
        <w:t xml:space="preserve"> views </w:t>
      </w:r>
      <w:r>
        <w:rPr>
          <w:rFonts w:hint="eastAsia"/>
          <w:lang w:val="en-US"/>
        </w:rPr>
        <w:t xml:space="preserve">on </w:t>
      </w:r>
      <w:r>
        <w:rPr>
          <w:rFonts w:hint="eastAsia"/>
          <w:lang w:val="en-US" w:eastAsia="zh-CN"/>
        </w:rPr>
        <w:t>UE</w:t>
      </w:r>
      <w:r>
        <w:rPr>
          <w:rFonts w:hint="eastAsia"/>
          <w:lang w:val="en-US"/>
        </w:rPr>
        <w:t xml:space="preserve"> RF requirements for Introduction of the satellite L-/S-band</w:t>
      </w:r>
      <w:r>
        <w:rPr>
          <w:rFonts w:hint="eastAsia" w:eastAsia="宋体"/>
          <w:lang w:val="en-US" w:eastAsia="zh-CN"/>
        </w:rPr>
        <w:t>.</w:t>
      </w:r>
      <w:r>
        <w:rPr>
          <w:rFonts w:hint="eastAsia" w:cs="Times New Roman"/>
          <w:kern w:val="2"/>
          <w:sz w:val="21"/>
          <w:szCs w:val="22"/>
          <w:highlight w:val="none"/>
          <w:lang w:val="en-US" w:eastAsia="zh-CN" w:bidi="ar-SA"/>
        </w:rPr>
        <w:t xml:space="preserve"> Some proposals are made as following</w:t>
      </w:r>
      <w:r>
        <w:rPr>
          <w:rFonts w:hint="eastAsia"/>
          <w:lang w:val="en-US" w:eastAsia="zh-CN"/>
        </w:rPr>
        <w:t>:</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bCs/>
          <w:i w:val="0"/>
          <w:iCs w:val="0"/>
          <w:lang w:val="en-US" w:eastAsia="zh-CN"/>
        </w:rPr>
        <w:t xml:space="preserve">Proposal 1: </w:t>
      </w:r>
      <w:r>
        <w:rPr>
          <w:rFonts w:hint="eastAsia"/>
          <w:b w:val="0"/>
          <w:bCs w:val="0"/>
          <w:i w:val="0"/>
          <w:iCs w:val="0"/>
          <w:lang w:val="en-US" w:eastAsia="zh-CN"/>
        </w:rPr>
        <w:t>The NTN FDD band with a UE transmitting at 1610-1626.5MHz and SAN transmitting at 2483.5-2500MHz should be numbered as Table 2.1-1.</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bCs/>
          <w:i w:val="0"/>
          <w:iCs w:val="0"/>
          <w:lang w:val="en-US" w:eastAsia="zh-CN"/>
        </w:rPr>
        <w:t>Proposal 2:</w:t>
      </w:r>
      <w:r>
        <w:rPr>
          <w:rFonts w:hint="eastAsia"/>
          <w:b w:val="0"/>
          <w:bCs w:val="0"/>
          <w:i w:val="0"/>
          <w:iCs w:val="0"/>
          <w:lang w:val="en-US" w:eastAsia="zh-CN"/>
        </w:rPr>
        <w:t xml:space="preserve"> The asymmetric channel bandwidth combinations 5+10MHz, 5+15MHz, and 10+15MHz UL/DL can be introduced under the same principle defined in section 5.3.6 in TS 38.101-1.</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bCs/>
          <w:i w:val="0"/>
          <w:iCs w:val="0"/>
          <w:lang w:val="en-US" w:eastAsia="zh-CN"/>
        </w:rPr>
        <w:t xml:space="preserve">Proposal 3: </w:t>
      </w:r>
      <w:r>
        <w:rPr>
          <w:rFonts w:hint="eastAsia"/>
          <w:b w:val="0"/>
          <w:bCs w:val="0"/>
          <w:i w:val="0"/>
          <w:iCs w:val="0"/>
          <w:lang w:val="en-US" w:eastAsia="zh-CN"/>
        </w:rPr>
        <w:t>For the NTN FDD band with a UE transmitting at 1610-1626.5MHz and SAN transmitting at 2483.5-2500MHz, the synchronization raster of SS Block pattern Case C also should be defined as Table 2.3-3.</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bCs/>
          <w:i w:val="0"/>
          <w:iCs w:val="0"/>
          <w:lang w:val="en-US" w:eastAsia="zh-CN"/>
        </w:rPr>
        <w:t>Proposal 4:</w:t>
      </w:r>
      <w:r>
        <w:rPr>
          <w:rFonts w:hint="eastAsia"/>
          <w:b w:val="0"/>
          <w:bCs w:val="0"/>
          <w:i w:val="0"/>
          <w:iCs w:val="0"/>
          <w:lang w:val="en-US" w:eastAsia="zh-CN"/>
        </w:rPr>
        <w:t xml:space="preserve"> For the NTN FDD band with a UE transmitting at 1610-1626.5MHz and SAN transmitting at 2483.5-2500MHz, the TX–RX frequency separation defined as Table 2.4-1 can be used as the starting point.</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default"/>
          <w:b/>
          <w:bCs/>
          <w:i w:val="0"/>
          <w:iCs w:val="0"/>
          <w:lang w:val="en-US" w:eastAsia="zh-CN"/>
        </w:rPr>
        <w:t xml:space="preserve">Proposal </w:t>
      </w:r>
      <w:r>
        <w:rPr>
          <w:rFonts w:hint="eastAsia"/>
          <w:b/>
          <w:bCs/>
          <w:i w:val="0"/>
          <w:iCs w:val="0"/>
          <w:lang w:val="en-US" w:eastAsia="zh-CN"/>
        </w:rPr>
        <w:t>5</w:t>
      </w:r>
      <w:r>
        <w:rPr>
          <w:rFonts w:hint="default"/>
          <w:b/>
          <w:bCs/>
          <w:i w:val="0"/>
          <w:iCs w:val="0"/>
          <w:lang w:val="en-US" w:eastAsia="zh-CN"/>
        </w:rPr>
        <w:t xml:space="preserve">: </w:t>
      </w:r>
      <w:r>
        <w:rPr>
          <w:rFonts w:hint="eastAsia"/>
          <w:b w:val="0"/>
          <w:bCs w:val="0"/>
          <w:i w:val="0"/>
          <w:iCs w:val="0"/>
          <w:lang w:val="en-US" w:eastAsia="zh-CN"/>
        </w:rPr>
        <w:t>For the reference sensitivity of the new NTN FDD band, we prefer to option 1 which is same REFSEMS as band n53.</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bCs/>
          <w:i w:val="0"/>
          <w:iCs w:val="0"/>
          <w:lang w:val="en-US" w:eastAsia="zh-CN"/>
        </w:rPr>
        <w:t xml:space="preserve">Proposal 6: </w:t>
      </w:r>
      <w:r>
        <w:rPr>
          <w:rFonts w:hint="eastAsia"/>
          <w:b w:val="0"/>
          <w:bCs w:val="0"/>
          <w:i w:val="0"/>
          <w:iCs w:val="0"/>
          <w:lang w:val="en-US" w:eastAsia="zh-CN"/>
        </w:rPr>
        <w:t>For the new NTN FDD band, the out-of-band blocking requirements can be specified in Table 2.6-1.</w:t>
      </w:r>
    </w:p>
    <w:p>
      <w:pPr>
        <w:pStyle w:val="56"/>
        <w:tabs>
          <w:tab w:val="left" w:pos="567"/>
          <w:tab w:val="clear" w:pos="1985"/>
        </w:tabs>
        <w:adjustRightInd w:val="0"/>
        <w:ind w:left="510" w:hanging="510"/>
        <w:rPr>
          <w:highlight w:val="none"/>
        </w:rPr>
      </w:pPr>
      <w:r>
        <w:rPr>
          <w:highlight w:val="none"/>
        </w:rPr>
        <w:t>References</w:t>
      </w:r>
    </w:p>
    <w:p>
      <w:pPr>
        <w:pStyle w:val="54"/>
        <w:numPr>
          <w:ilvl w:val="0"/>
          <w:numId w:val="3"/>
        </w:numPr>
      </w:pPr>
      <w:r>
        <w:rPr>
          <w:rFonts w:hint="eastAsia" w:ascii="Times New Roman" w:hAnsi="Times New Roman" w:eastAsia="宋体" w:cs="Times New Roman"/>
          <w:sz w:val="20"/>
          <w:szCs w:val="20"/>
          <w:highlight w:val="none"/>
          <w:lang w:val="en-US" w:eastAsia="zh-CN"/>
        </w:rPr>
        <w:t>RP-223485</w:t>
      </w:r>
      <w:r>
        <w:rPr>
          <w:rFonts w:hint="eastAsia" w:cs="Times New Roman"/>
          <w:sz w:val="20"/>
          <w:szCs w:val="20"/>
          <w:highlight w:val="none"/>
          <w:lang w:val="en-US" w:eastAsia="zh-CN"/>
        </w:rPr>
        <w:t xml:space="preserve">, </w:t>
      </w:r>
      <w:r>
        <w:rPr>
          <w:rFonts w:hint="default" w:cs="Times New Roman"/>
          <w:sz w:val="20"/>
          <w:szCs w:val="20"/>
          <w:highlight w:val="none"/>
          <w:lang w:val="en-US" w:eastAsia="zh-CN"/>
        </w:rPr>
        <w:t>“</w:t>
      </w:r>
      <w:r>
        <w:rPr>
          <w:rFonts w:hint="eastAsia" w:ascii="Times New Roman" w:hAnsi="Times New Roman" w:eastAsia="宋体" w:cs="Times New Roman"/>
          <w:sz w:val="20"/>
          <w:szCs w:val="20"/>
          <w:highlight w:val="none"/>
          <w:lang w:val="en-US" w:eastAsia="zh-CN"/>
        </w:rPr>
        <w:t xml:space="preserve">New WID on Introduction of the satellite L-/S-ban”, </w:t>
      </w:r>
      <w:bookmarkStart w:id="8" w:name="OLE_LINK4"/>
      <w:r>
        <w:rPr>
          <w:rFonts w:hint="eastAsia" w:ascii="Times New Roman" w:hAnsi="Times New Roman" w:eastAsia="宋体" w:cs="Times New Roman"/>
          <w:sz w:val="20"/>
          <w:szCs w:val="20"/>
          <w:highlight w:val="none"/>
          <w:lang w:val="en-US" w:eastAsia="zh-CN"/>
        </w:rPr>
        <w:t>Globalstar, Apple</w:t>
      </w:r>
      <w:bookmarkEnd w:id="8"/>
      <w:r>
        <w:rPr>
          <w:rFonts w:hint="eastAsia" w:ascii="Times New Roman" w:hAnsi="Times New Roman" w:eastAsia="宋体" w:cs="Times New Roman"/>
          <w:sz w:val="20"/>
          <w:szCs w:val="20"/>
          <w:highlight w:val="none"/>
          <w:lang w:val="en-US" w:eastAsia="zh-CN"/>
        </w:rPr>
        <w:t>.</w:t>
      </w: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Yu Mincho">
    <w:altName w:val="MS PMincho"/>
    <w:panose1 w:val="02020400000000000000"/>
    <w:charset w:val="80"/>
    <w:family w:val="roman"/>
    <w:pitch w:val="default"/>
    <w:sig w:usb0="00000000" w:usb1="00000000" w:usb2="00000012" w:usb3="00000000" w:csb0="0002009F" w:csb1="00000000"/>
  </w:font>
  <w:font w:name="MS PMincho">
    <w:panose1 w:val="02020600040205080304"/>
    <w:charset w:val="80"/>
    <w:family w:val="auto"/>
    <w:pitch w:val="default"/>
    <w:sig w:usb0="E00002FF" w:usb1="6AC7FDFB" w:usb2="00000012" w:usb3="00000000" w:csb0="4002009F" w:csb1="DFD70000"/>
  </w:font>
  <w:font w:name="v5.0.0">
    <w:altName w:val="Times New Roman"/>
    <w:panose1 w:val="00000000000000000000"/>
    <w:charset w:val="00"/>
    <w:family w:val="roman"/>
    <w:pitch w:val="default"/>
    <w:sig w:usb0="00000000" w:usb1="00000000" w:usb2="00000000" w:usb3="00000000" w:csb0="00040001" w:csb1="00000000"/>
  </w:font>
  <w:font w:name="PMingLiU">
    <w:panose1 w:val="02020500000000000000"/>
    <w:charset w:val="88"/>
    <w:family w:val="auto"/>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4C16130"/>
    <w:multiLevelType w:val="multilevel"/>
    <w:tmpl w:val="14C1613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5D177F5E"/>
    <w:multiLevelType w:val="multilevel"/>
    <w:tmpl w:val="5D177F5E"/>
    <w:lvl w:ilvl="0" w:tentative="0">
      <w:start w:val="1"/>
      <w:numFmt w:val="decimal"/>
      <w:pStyle w:val="56"/>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AAB"/>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73E"/>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732"/>
    <w:rsid w:val="00497B42"/>
    <w:rsid w:val="004A0006"/>
    <w:rsid w:val="004A038B"/>
    <w:rsid w:val="004A1598"/>
    <w:rsid w:val="004A159D"/>
    <w:rsid w:val="004A20BA"/>
    <w:rsid w:val="004A2904"/>
    <w:rsid w:val="004A2E4B"/>
    <w:rsid w:val="004A2F32"/>
    <w:rsid w:val="004A30AF"/>
    <w:rsid w:val="004A3801"/>
    <w:rsid w:val="004A3ABE"/>
    <w:rsid w:val="004A4270"/>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A28"/>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7F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6B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37C8B"/>
    <w:rsid w:val="012823DD"/>
    <w:rsid w:val="012A6A7A"/>
    <w:rsid w:val="012B446C"/>
    <w:rsid w:val="01391A90"/>
    <w:rsid w:val="013A4C94"/>
    <w:rsid w:val="01442D89"/>
    <w:rsid w:val="01522256"/>
    <w:rsid w:val="01594895"/>
    <w:rsid w:val="015C06BF"/>
    <w:rsid w:val="015F18F2"/>
    <w:rsid w:val="015F5FA3"/>
    <w:rsid w:val="016800B9"/>
    <w:rsid w:val="017059E0"/>
    <w:rsid w:val="0177679C"/>
    <w:rsid w:val="01791D2E"/>
    <w:rsid w:val="017A1AFB"/>
    <w:rsid w:val="01821D8F"/>
    <w:rsid w:val="01837E02"/>
    <w:rsid w:val="018C2266"/>
    <w:rsid w:val="018C3642"/>
    <w:rsid w:val="018D7DCE"/>
    <w:rsid w:val="0195201D"/>
    <w:rsid w:val="01994276"/>
    <w:rsid w:val="019C3DA8"/>
    <w:rsid w:val="019E267E"/>
    <w:rsid w:val="01A402CD"/>
    <w:rsid w:val="01A742A2"/>
    <w:rsid w:val="01B30E7E"/>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B73AB"/>
    <w:rsid w:val="01ED0229"/>
    <w:rsid w:val="01F33D9D"/>
    <w:rsid w:val="01F60577"/>
    <w:rsid w:val="02016155"/>
    <w:rsid w:val="020F4070"/>
    <w:rsid w:val="021042F2"/>
    <w:rsid w:val="021A2C38"/>
    <w:rsid w:val="021D2604"/>
    <w:rsid w:val="02293A2A"/>
    <w:rsid w:val="022D5BF3"/>
    <w:rsid w:val="022F6559"/>
    <w:rsid w:val="022F66E0"/>
    <w:rsid w:val="0231388A"/>
    <w:rsid w:val="0238292F"/>
    <w:rsid w:val="023A0A2B"/>
    <w:rsid w:val="023E7088"/>
    <w:rsid w:val="0240545F"/>
    <w:rsid w:val="024C13AB"/>
    <w:rsid w:val="02532AA9"/>
    <w:rsid w:val="025732DD"/>
    <w:rsid w:val="025C0F66"/>
    <w:rsid w:val="0262197E"/>
    <w:rsid w:val="026667E9"/>
    <w:rsid w:val="027035EC"/>
    <w:rsid w:val="0280035E"/>
    <w:rsid w:val="028742F5"/>
    <w:rsid w:val="028748E0"/>
    <w:rsid w:val="02892A7A"/>
    <w:rsid w:val="02927A98"/>
    <w:rsid w:val="029342BD"/>
    <w:rsid w:val="029D3139"/>
    <w:rsid w:val="02AF6836"/>
    <w:rsid w:val="02B06DC0"/>
    <w:rsid w:val="02B31189"/>
    <w:rsid w:val="02B85839"/>
    <w:rsid w:val="02C86D51"/>
    <w:rsid w:val="02CE3DD2"/>
    <w:rsid w:val="02D204DD"/>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A5DF1"/>
    <w:rsid w:val="031E0FAC"/>
    <w:rsid w:val="031E4C95"/>
    <w:rsid w:val="032814A6"/>
    <w:rsid w:val="032E4DBB"/>
    <w:rsid w:val="0332111E"/>
    <w:rsid w:val="03332CAE"/>
    <w:rsid w:val="03343BC7"/>
    <w:rsid w:val="033D44BC"/>
    <w:rsid w:val="033F52A3"/>
    <w:rsid w:val="033F7E0C"/>
    <w:rsid w:val="03402EB3"/>
    <w:rsid w:val="034C342E"/>
    <w:rsid w:val="034C5C4D"/>
    <w:rsid w:val="034E41AA"/>
    <w:rsid w:val="0354325C"/>
    <w:rsid w:val="035C4C68"/>
    <w:rsid w:val="035D2EB4"/>
    <w:rsid w:val="03651217"/>
    <w:rsid w:val="03687ADD"/>
    <w:rsid w:val="03696DA6"/>
    <w:rsid w:val="036A231E"/>
    <w:rsid w:val="037252C8"/>
    <w:rsid w:val="03774924"/>
    <w:rsid w:val="03822F79"/>
    <w:rsid w:val="0395764C"/>
    <w:rsid w:val="03974352"/>
    <w:rsid w:val="039B69FD"/>
    <w:rsid w:val="03A32E58"/>
    <w:rsid w:val="03C0647A"/>
    <w:rsid w:val="03C6618A"/>
    <w:rsid w:val="03CD06E1"/>
    <w:rsid w:val="03CD6E1F"/>
    <w:rsid w:val="03D3772A"/>
    <w:rsid w:val="03D4427A"/>
    <w:rsid w:val="03D85D8B"/>
    <w:rsid w:val="03D9743D"/>
    <w:rsid w:val="03E54642"/>
    <w:rsid w:val="03E608D7"/>
    <w:rsid w:val="03F54B29"/>
    <w:rsid w:val="03F81356"/>
    <w:rsid w:val="03F947E9"/>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23BF"/>
    <w:rsid w:val="04605B56"/>
    <w:rsid w:val="04671100"/>
    <w:rsid w:val="046E568E"/>
    <w:rsid w:val="04786ED3"/>
    <w:rsid w:val="04824F32"/>
    <w:rsid w:val="04856247"/>
    <w:rsid w:val="04865E52"/>
    <w:rsid w:val="048829D4"/>
    <w:rsid w:val="049B40DC"/>
    <w:rsid w:val="04A261AA"/>
    <w:rsid w:val="04AD0659"/>
    <w:rsid w:val="04CC2223"/>
    <w:rsid w:val="04D66461"/>
    <w:rsid w:val="04E06510"/>
    <w:rsid w:val="051034CD"/>
    <w:rsid w:val="05133DA1"/>
    <w:rsid w:val="051B51B5"/>
    <w:rsid w:val="051F43BC"/>
    <w:rsid w:val="051F61A1"/>
    <w:rsid w:val="0522396C"/>
    <w:rsid w:val="052432F7"/>
    <w:rsid w:val="05280A89"/>
    <w:rsid w:val="05367F8C"/>
    <w:rsid w:val="053E1AC2"/>
    <w:rsid w:val="0545651B"/>
    <w:rsid w:val="05583DC1"/>
    <w:rsid w:val="055A77BF"/>
    <w:rsid w:val="055B30DC"/>
    <w:rsid w:val="055C5DB2"/>
    <w:rsid w:val="05687505"/>
    <w:rsid w:val="05734531"/>
    <w:rsid w:val="05784E56"/>
    <w:rsid w:val="057F0408"/>
    <w:rsid w:val="05804262"/>
    <w:rsid w:val="05816D10"/>
    <w:rsid w:val="058E6ED4"/>
    <w:rsid w:val="05930F73"/>
    <w:rsid w:val="05940F3F"/>
    <w:rsid w:val="05984412"/>
    <w:rsid w:val="05991C8F"/>
    <w:rsid w:val="05A706E9"/>
    <w:rsid w:val="05B11A20"/>
    <w:rsid w:val="05B173DC"/>
    <w:rsid w:val="05B27D07"/>
    <w:rsid w:val="05B658ED"/>
    <w:rsid w:val="05BC079D"/>
    <w:rsid w:val="05BE42A5"/>
    <w:rsid w:val="05C256BE"/>
    <w:rsid w:val="05CC32B8"/>
    <w:rsid w:val="05CD193F"/>
    <w:rsid w:val="05D16BC6"/>
    <w:rsid w:val="05DC2707"/>
    <w:rsid w:val="05E660EA"/>
    <w:rsid w:val="05E73462"/>
    <w:rsid w:val="05EB0F6A"/>
    <w:rsid w:val="05EE3B4E"/>
    <w:rsid w:val="05F6627C"/>
    <w:rsid w:val="05F662C2"/>
    <w:rsid w:val="05FA1213"/>
    <w:rsid w:val="05FF3135"/>
    <w:rsid w:val="060836A6"/>
    <w:rsid w:val="060C5B07"/>
    <w:rsid w:val="060D249E"/>
    <w:rsid w:val="06111076"/>
    <w:rsid w:val="061E2511"/>
    <w:rsid w:val="062D742E"/>
    <w:rsid w:val="063F20A9"/>
    <w:rsid w:val="064001EE"/>
    <w:rsid w:val="0644622F"/>
    <w:rsid w:val="06474EFD"/>
    <w:rsid w:val="06493A8C"/>
    <w:rsid w:val="064A35EA"/>
    <w:rsid w:val="064B521E"/>
    <w:rsid w:val="064C2727"/>
    <w:rsid w:val="065740AF"/>
    <w:rsid w:val="065A0E09"/>
    <w:rsid w:val="065A56A2"/>
    <w:rsid w:val="0665756F"/>
    <w:rsid w:val="066F6122"/>
    <w:rsid w:val="06735C62"/>
    <w:rsid w:val="067570AB"/>
    <w:rsid w:val="067B39B4"/>
    <w:rsid w:val="067D28AB"/>
    <w:rsid w:val="06805AC5"/>
    <w:rsid w:val="06836FEC"/>
    <w:rsid w:val="068523FB"/>
    <w:rsid w:val="068C6317"/>
    <w:rsid w:val="069B1966"/>
    <w:rsid w:val="06A22FF5"/>
    <w:rsid w:val="06A32A23"/>
    <w:rsid w:val="06A55EB9"/>
    <w:rsid w:val="06AE0568"/>
    <w:rsid w:val="06AF28B0"/>
    <w:rsid w:val="06B13F50"/>
    <w:rsid w:val="06B506C7"/>
    <w:rsid w:val="06B548E2"/>
    <w:rsid w:val="06BA7F49"/>
    <w:rsid w:val="06BB4F9D"/>
    <w:rsid w:val="06C72EBF"/>
    <w:rsid w:val="06C9247F"/>
    <w:rsid w:val="06CD3A64"/>
    <w:rsid w:val="06DF7EFF"/>
    <w:rsid w:val="06F30672"/>
    <w:rsid w:val="06F35A7A"/>
    <w:rsid w:val="06F35AB6"/>
    <w:rsid w:val="06F36E77"/>
    <w:rsid w:val="06F66B05"/>
    <w:rsid w:val="0702074E"/>
    <w:rsid w:val="0708086F"/>
    <w:rsid w:val="07195C98"/>
    <w:rsid w:val="07220D76"/>
    <w:rsid w:val="072717DA"/>
    <w:rsid w:val="07272049"/>
    <w:rsid w:val="07277193"/>
    <w:rsid w:val="072B7E46"/>
    <w:rsid w:val="072F2139"/>
    <w:rsid w:val="07350A48"/>
    <w:rsid w:val="073B285A"/>
    <w:rsid w:val="07436058"/>
    <w:rsid w:val="074E566F"/>
    <w:rsid w:val="074F3DF9"/>
    <w:rsid w:val="07537C92"/>
    <w:rsid w:val="075670A4"/>
    <w:rsid w:val="075E667A"/>
    <w:rsid w:val="07660D5A"/>
    <w:rsid w:val="07665169"/>
    <w:rsid w:val="076F4BA4"/>
    <w:rsid w:val="07731BE6"/>
    <w:rsid w:val="07750A92"/>
    <w:rsid w:val="07790496"/>
    <w:rsid w:val="077F542D"/>
    <w:rsid w:val="077F5D16"/>
    <w:rsid w:val="07817B19"/>
    <w:rsid w:val="078B062A"/>
    <w:rsid w:val="078F6FFB"/>
    <w:rsid w:val="07916BE4"/>
    <w:rsid w:val="07A2728D"/>
    <w:rsid w:val="07A80D41"/>
    <w:rsid w:val="07AA3E51"/>
    <w:rsid w:val="07BE51B2"/>
    <w:rsid w:val="07C5157D"/>
    <w:rsid w:val="07CF27B4"/>
    <w:rsid w:val="07D835FB"/>
    <w:rsid w:val="07DD018B"/>
    <w:rsid w:val="07E014BE"/>
    <w:rsid w:val="07E04AA8"/>
    <w:rsid w:val="07E85751"/>
    <w:rsid w:val="07ED5339"/>
    <w:rsid w:val="07F70AC8"/>
    <w:rsid w:val="07F97CF9"/>
    <w:rsid w:val="0800676F"/>
    <w:rsid w:val="080F4BCD"/>
    <w:rsid w:val="08166652"/>
    <w:rsid w:val="08171593"/>
    <w:rsid w:val="0835476E"/>
    <w:rsid w:val="08367FC2"/>
    <w:rsid w:val="08391661"/>
    <w:rsid w:val="084E0029"/>
    <w:rsid w:val="08550FFB"/>
    <w:rsid w:val="085D6C7E"/>
    <w:rsid w:val="08611CAF"/>
    <w:rsid w:val="0865781A"/>
    <w:rsid w:val="0866133E"/>
    <w:rsid w:val="08692F64"/>
    <w:rsid w:val="087716A2"/>
    <w:rsid w:val="08780590"/>
    <w:rsid w:val="087B043E"/>
    <w:rsid w:val="087E046C"/>
    <w:rsid w:val="08813C88"/>
    <w:rsid w:val="088D794D"/>
    <w:rsid w:val="08942BDF"/>
    <w:rsid w:val="089852F1"/>
    <w:rsid w:val="08990610"/>
    <w:rsid w:val="089B5449"/>
    <w:rsid w:val="089D6B7D"/>
    <w:rsid w:val="08A03B5E"/>
    <w:rsid w:val="08A275F2"/>
    <w:rsid w:val="08B21918"/>
    <w:rsid w:val="08B40442"/>
    <w:rsid w:val="08B93018"/>
    <w:rsid w:val="08B94847"/>
    <w:rsid w:val="08BC3B5F"/>
    <w:rsid w:val="08C14001"/>
    <w:rsid w:val="08CF2EF9"/>
    <w:rsid w:val="08D836B6"/>
    <w:rsid w:val="08E0451F"/>
    <w:rsid w:val="08F10FA0"/>
    <w:rsid w:val="08F5200D"/>
    <w:rsid w:val="08F911CC"/>
    <w:rsid w:val="09016732"/>
    <w:rsid w:val="09127CF4"/>
    <w:rsid w:val="09157E5B"/>
    <w:rsid w:val="092073EA"/>
    <w:rsid w:val="092234B5"/>
    <w:rsid w:val="09226860"/>
    <w:rsid w:val="092816B4"/>
    <w:rsid w:val="092C26C9"/>
    <w:rsid w:val="09334A3F"/>
    <w:rsid w:val="094109B5"/>
    <w:rsid w:val="09444B9B"/>
    <w:rsid w:val="0953050B"/>
    <w:rsid w:val="09546457"/>
    <w:rsid w:val="0958129F"/>
    <w:rsid w:val="09582472"/>
    <w:rsid w:val="096308E4"/>
    <w:rsid w:val="09652822"/>
    <w:rsid w:val="096913F9"/>
    <w:rsid w:val="096B649C"/>
    <w:rsid w:val="096F18AA"/>
    <w:rsid w:val="096F1D52"/>
    <w:rsid w:val="09713F26"/>
    <w:rsid w:val="09796C44"/>
    <w:rsid w:val="097E56C1"/>
    <w:rsid w:val="098344BC"/>
    <w:rsid w:val="09846B33"/>
    <w:rsid w:val="098A1B59"/>
    <w:rsid w:val="09902C37"/>
    <w:rsid w:val="099C0C4E"/>
    <w:rsid w:val="099D22A1"/>
    <w:rsid w:val="09A545D9"/>
    <w:rsid w:val="09A64698"/>
    <w:rsid w:val="09A9204A"/>
    <w:rsid w:val="09AC5074"/>
    <w:rsid w:val="09AD07F3"/>
    <w:rsid w:val="09B14A34"/>
    <w:rsid w:val="09B1619E"/>
    <w:rsid w:val="09BA5647"/>
    <w:rsid w:val="09C346F5"/>
    <w:rsid w:val="09C407E0"/>
    <w:rsid w:val="09CA65A4"/>
    <w:rsid w:val="09CD6A58"/>
    <w:rsid w:val="09CD6EF5"/>
    <w:rsid w:val="09E14486"/>
    <w:rsid w:val="09E14DD8"/>
    <w:rsid w:val="09E33529"/>
    <w:rsid w:val="09E4648F"/>
    <w:rsid w:val="09EE4213"/>
    <w:rsid w:val="09F1407D"/>
    <w:rsid w:val="09F21427"/>
    <w:rsid w:val="0A093274"/>
    <w:rsid w:val="0A145E2C"/>
    <w:rsid w:val="0A223227"/>
    <w:rsid w:val="0A22459E"/>
    <w:rsid w:val="0A2705E1"/>
    <w:rsid w:val="0A2A6A0B"/>
    <w:rsid w:val="0A2D3A24"/>
    <w:rsid w:val="0A312533"/>
    <w:rsid w:val="0A335E1D"/>
    <w:rsid w:val="0A3A0D5D"/>
    <w:rsid w:val="0A475F1B"/>
    <w:rsid w:val="0A5056C6"/>
    <w:rsid w:val="0A5060D6"/>
    <w:rsid w:val="0A544B53"/>
    <w:rsid w:val="0A5F4C2E"/>
    <w:rsid w:val="0A6B69C2"/>
    <w:rsid w:val="0A7200B0"/>
    <w:rsid w:val="0A722168"/>
    <w:rsid w:val="0A741F08"/>
    <w:rsid w:val="0A771CA5"/>
    <w:rsid w:val="0A7F11A2"/>
    <w:rsid w:val="0A7F4F37"/>
    <w:rsid w:val="0A843B9D"/>
    <w:rsid w:val="0A8621F2"/>
    <w:rsid w:val="0A8C711B"/>
    <w:rsid w:val="0A8F1F9F"/>
    <w:rsid w:val="0A9B366D"/>
    <w:rsid w:val="0A9B6BF5"/>
    <w:rsid w:val="0A9E5B2C"/>
    <w:rsid w:val="0AA40CFE"/>
    <w:rsid w:val="0AA4164F"/>
    <w:rsid w:val="0AA50074"/>
    <w:rsid w:val="0AAB401F"/>
    <w:rsid w:val="0AB329A9"/>
    <w:rsid w:val="0ABA55D8"/>
    <w:rsid w:val="0AC23AEF"/>
    <w:rsid w:val="0AC42373"/>
    <w:rsid w:val="0AC81444"/>
    <w:rsid w:val="0ACC11E2"/>
    <w:rsid w:val="0ACD4245"/>
    <w:rsid w:val="0AD57FD6"/>
    <w:rsid w:val="0AD84FAB"/>
    <w:rsid w:val="0ADD7B55"/>
    <w:rsid w:val="0AFE0751"/>
    <w:rsid w:val="0B0569D0"/>
    <w:rsid w:val="0B110AC0"/>
    <w:rsid w:val="0B1157EF"/>
    <w:rsid w:val="0B155EAD"/>
    <w:rsid w:val="0B1765E0"/>
    <w:rsid w:val="0B1C1D7C"/>
    <w:rsid w:val="0B1C689D"/>
    <w:rsid w:val="0B1D3582"/>
    <w:rsid w:val="0B1F0D1A"/>
    <w:rsid w:val="0B22066E"/>
    <w:rsid w:val="0B2643BE"/>
    <w:rsid w:val="0B2A4C65"/>
    <w:rsid w:val="0B2B1908"/>
    <w:rsid w:val="0B2D66EE"/>
    <w:rsid w:val="0B3F2432"/>
    <w:rsid w:val="0B411C01"/>
    <w:rsid w:val="0B4D5218"/>
    <w:rsid w:val="0B5A039E"/>
    <w:rsid w:val="0B5C18DB"/>
    <w:rsid w:val="0B5C42B3"/>
    <w:rsid w:val="0B5F215C"/>
    <w:rsid w:val="0B605DE1"/>
    <w:rsid w:val="0B615169"/>
    <w:rsid w:val="0B622E13"/>
    <w:rsid w:val="0B651A68"/>
    <w:rsid w:val="0B717521"/>
    <w:rsid w:val="0B7B1004"/>
    <w:rsid w:val="0B7D6E03"/>
    <w:rsid w:val="0B884E90"/>
    <w:rsid w:val="0B892782"/>
    <w:rsid w:val="0B936E39"/>
    <w:rsid w:val="0B9C0905"/>
    <w:rsid w:val="0B9E13B0"/>
    <w:rsid w:val="0BB02C8B"/>
    <w:rsid w:val="0BB2460A"/>
    <w:rsid w:val="0BB41CFB"/>
    <w:rsid w:val="0BB53F3C"/>
    <w:rsid w:val="0BC739F0"/>
    <w:rsid w:val="0BD21910"/>
    <w:rsid w:val="0BDA3782"/>
    <w:rsid w:val="0BDB5584"/>
    <w:rsid w:val="0BE03DAA"/>
    <w:rsid w:val="0BE17727"/>
    <w:rsid w:val="0BE80161"/>
    <w:rsid w:val="0BE96AA5"/>
    <w:rsid w:val="0BEC55E4"/>
    <w:rsid w:val="0BEF5C37"/>
    <w:rsid w:val="0BF427F9"/>
    <w:rsid w:val="0C0241E1"/>
    <w:rsid w:val="0C0B2ABC"/>
    <w:rsid w:val="0C0C632D"/>
    <w:rsid w:val="0C120111"/>
    <w:rsid w:val="0C12447E"/>
    <w:rsid w:val="0C1D0A79"/>
    <w:rsid w:val="0C367363"/>
    <w:rsid w:val="0C37145B"/>
    <w:rsid w:val="0C3946F8"/>
    <w:rsid w:val="0C3C0AB0"/>
    <w:rsid w:val="0C505A52"/>
    <w:rsid w:val="0C52301A"/>
    <w:rsid w:val="0C573449"/>
    <w:rsid w:val="0C576E02"/>
    <w:rsid w:val="0C6038EF"/>
    <w:rsid w:val="0C654C73"/>
    <w:rsid w:val="0C663BE3"/>
    <w:rsid w:val="0C6E71B7"/>
    <w:rsid w:val="0C710467"/>
    <w:rsid w:val="0C744A34"/>
    <w:rsid w:val="0C751214"/>
    <w:rsid w:val="0C780533"/>
    <w:rsid w:val="0C780F1E"/>
    <w:rsid w:val="0C7D637F"/>
    <w:rsid w:val="0C85742B"/>
    <w:rsid w:val="0C8726EC"/>
    <w:rsid w:val="0C873353"/>
    <w:rsid w:val="0C885C99"/>
    <w:rsid w:val="0C8B4B61"/>
    <w:rsid w:val="0C904D9E"/>
    <w:rsid w:val="0C9A4387"/>
    <w:rsid w:val="0C9D3F03"/>
    <w:rsid w:val="0CA1546A"/>
    <w:rsid w:val="0CA363B4"/>
    <w:rsid w:val="0CA3722D"/>
    <w:rsid w:val="0CA4660D"/>
    <w:rsid w:val="0CA46672"/>
    <w:rsid w:val="0CA92BAC"/>
    <w:rsid w:val="0CB471A1"/>
    <w:rsid w:val="0CB90F2E"/>
    <w:rsid w:val="0CBB5A0F"/>
    <w:rsid w:val="0CCD3B1C"/>
    <w:rsid w:val="0CD11392"/>
    <w:rsid w:val="0CE245F1"/>
    <w:rsid w:val="0CE4001E"/>
    <w:rsid w:val="0CF5634C"/>
    <w:rsid w:val="0D0148C7"/>
    <w:rsid w:val="0D0213CD"/>
    <w:rsid w:val="0D04575D"/>
    <w:rsid w:val="0D0612B8"/>
    <w:rsid w:val="0D066A9C"/>
    <w:rsid w:val="0D0714BC"/>
    <w:rsid w:val="0D135280"/>
    <w:rsid w:val="0D136EF9"/>
    <w:rsid w:val="0D1A52C8"/>
    <w:rsid w:val="0D1C1D16"/>
    <w:rsid w:val="0D21615D"/>
    <w:rsid w:val="0D2454BF"/>
    <w:rsid w:val="0D2767B5"/>
    <w:rsid w:val="0D3E327E"/>
    <w:rsid w:val="0D3E73C8"/>
    <w:rsid w:val="0D3F4797"/>
    <w:rsid w:val="0D432A3E"/>
    <w:rsid w:val="0D480AA9"/>
    <w:rsid w:val="0D5800C7"/>
    <w:rsid w:val="0D5B6E86"/>
    <w:rsid w:val="0D604B9B"/>
    <w:rsid w:val="0D63712E"/>
    <w:rsid w:val="0D6A353C"/>
    <w:rsid w:val="0D813BDF"/>
    <w:rsid w:val="0D826C81"/>
    <w:rsid w:val="0D904522"/>
    <w:rsid w:val="0D976014"/>
    <w:rsid w:val="0D9D7A3A"/>
    <w:rsid w:val="0DA060E8"/>
    <w:rsid w:val="0DA21DEB"/>
    <w:rsid w:val="0DA57AAE"/>
    <w:rsid w:val="0DAD467B"/>
    <w:rsid w:val="0DB76EF8"/>
    <w:rsid w:val="0DCE36F3"/>
    <w:rsid w:val="0DD621E4"/>
    <w:rsid w:val="0DD933E8"/>
    <w:rsid w:val="0DDD2372"/>
    <w:rsid w:val="0DDE1317"/>
    <w:rsid w:val="0DE55D4A"/>
    <w:rsid w:val="0DEE77C3"/>
    <w:rsid w:val="0DF0225F"/>
    <w:rsid w:val="0DF367C2"/>
    <w:rsid w:val="0DFC48AF"/>
    <w:rsid w:val="0DFF2594"/>
    <w:rsid w:val="0E0313B1"/>
    <w:rsid w:val="0E062A96"/>
    <w:rsid w:val="0E0D1A47"/>
    <w:rsid w:val="0E176FCD"/>
    <w:rsid w:val="0E1C0C6C"/>
    <w:rsid w:val="0E1C36BB"/>
    <w:rsid w:val="0E281319"/>
    <w:rsid w:val="0E317518"/>
    <w:rsid w:val="0E3217E8"/>
    <w:rsid w:val="0E36107D"/>
    <w:rsid w:val="0E387AA5"/>
    <w:rsid w:val="0E3F0E9A"/>
    <w:rsid w:val="0E400D03"/>
    <w:rsid w:val="0E485C9B"/>
    <w:rsid w:val="0E4D4B22"/>
    <w:rsid w:val="0E5E2B07"/>
    <w:rsid w:val="0E664DE5"/>
    <w:rsid w:val="0E752596"/>
    <w:rsid w:val="0E771E51"/>
    <w:rsid w:val="0E796EA0"/>
    <w:rsid w:val="0E7A2A61"/>
    <w:rsid w:val="0E7C0762"/>
    <w:rsid w:val="0E8118C0"/>
    <w:rsid w:val="0E8A599D"/>
    <w:rsid w:val="0E9A17E3"/>
    <w:rsid w:val="0EA11114"/>
    <w:rsid w:val="0EA35AC0"/>
    <w:rsid w:val="0EB34961"/>
    <w:rsid w:val="0EB9447E"/>
    <w:rsid w:val="0EBA7F36"/>
    <w:rsid w:val="0EC11B24"/>
    <w:rsid w:val="0EC468A2"/>
    <w:rsid w:val="0ECA0784"/>
    <w:rsid w:val="0ECC4066"/>
    <w:rsid w:val="0ECE7C5F"/>
    <w:rsid w:val="0ED12B32"/>
    <w:rsid w:val="0ED96517"/>
    <w:rsid w:val="0EDA48C8"/>
    <w:rsid w:val="0EDC5CD2"/>
    <w:rsid w:val="0EEC53AA"/>
    <w:rsid w:val="0EF75D05"/>
    <w:rsid w:val="0EF957FE"/>
    <w:rsid w:val="0EFE2ACB"/>
    <w:rsid w:val="0F01621E"/>
    <w:rsid w:val="0F0752A8"/>
    <w:rsid w:val="0F0D240A"/>
    <w:rsid w:val="0F0E2F3A"/>
    <w:rsid w:val="0F12247A"/>
    <w:rsid w:val="0F1D0ECD"/>
    <w:rsid w:val="0F1F007A"/>
    <w:rsid w:val="0F2425E4"/>
    <w:rsid w:val="0F3452E0"/>
    <w:rsid w:val="0F364BC2"/>
    <w:rsid w:val="0F3A630E"/>
    <w:rsid w:val="0F3B1C05"/>
    <w:rsid w:val="0F3B7D81"/>
    <w:rsid w:val="0F455F85"/>
    <w:rsid w:val="0F49564D"/>
    <w:rsid w:val="0F4B7E21"/>
    <w:rsid w:val="0F4D1918"/>
    <w:rsid w:val="0F5075AE"/>
    <w:rsid w:val="0F521719"/>
    <w:rsid w:val="0F571705"/>
    <w:rsid w:val="0F584757"/>
    <w:rsid w:val="0F6A1108"/>
    <w:rsid w:val="0F704CEF"/>
    <w:rsid w:val="0F7514AB"/>
    <w:rsid w:val="0F7735CB"/>
    <w:rsid w:val="0F7C4621"/>
    <w:rsid w:val="0F7D786D"/>
    <w:rsid w:val="0F7E4DAF"/>
    <w:rsid w:val="0F7E6AED"/>
    <w:rsid w:val="0F80243B"/>
    <w:rsid w:val="0F842AF1"/>
    <w:rsid w:val="0F8E6521"/>
    <w:rsid w:val="0F9A3D44"/>
    <w:rsid w:val="0FA24C88"/>
    <w:rsid w:val="0FA26E81"/>
    <w:rsid w:val="0FA615E1"/>
    <w:rsid w:val="0FAD0019"/>
    <w:rsid w:val="0FAD3299"/>
    <w:rsid w:val="0FAD3F5A"/>
    <w:rsid w:val="0FB11EE4"/>
    <w:rsid w:val="0FB13AE2"/>
    <w:rsid w:val="0FB261C9"/>
    <w:rsid w:val="0FB31343"/>
    <w:rsid w:val="0FC12836"/>
    <w:rsid w:val="0FD95333"/>
    <w:rsid w:val="0FEB0378"/>
    <w:rsid w:val="0FEC322B"/>
    <w:rsid w:val="0FEC6EF6"/>
    <w:rsid w:val="10045EE6"/>
    <w:rsid w:val="100C1580"/>
    <w:rsid w:val="100D3B17"/>
    <w:rsid w:val="10154FE6"/>
    <w:rsid w:val="10164BFD"/>
    <w:rsid w:val="1023666E"/>
    <w:rsid w:val="1030627B"/>
    <w:rsid w:val="1035409F"/>
    <w:rsid w:val="1035503C"/>
    <w:rsid w:val="1037078D"/>
    <w:rsid w:val="103806C3"/>
    <w:rsid w:val="103A7991"/>
    <w:rsid w:val="104052A4"/>
    <w:rsid w:val="10413A4E"/>
    <w:rsid w:val="10462479"/>
    <w:rsid w:val="104B2D15"/>
    <w:rsid w:val="10545462"/>
    <w:rsid w:val="10557B06"/>
    <w:rsid w:val="10613177"/>
    <w:rsid w:val="10674DB0"/>
    <w:rsid w:val="106D678B"/>
    <w:rsid w:val="107374A2"/>
    <w:rsid w:val="10746083"/>
    <w:rsid w:val="10774625"/>
    <w:rsid w:val="107B4809"/>
    <w:rsid w:val="10836F99"/>
    <w:rsid w:val="10886883"/>
    <w:rsid w:val="108A2129"/>
    <w:rsid w:val="10924B2D"/>
    <w:rsid w:val="10953B42"/>
    <w:rsid w:val="10A37648"/>
    <w:rsid w:val="10B7486E"/>
    <w:rsid w:val="10C6402C"/>
    <w:rsid w:val="10CC5735"/>
    <w:rsid w:val="10D679E0"/>
    <w:rsid w:val="10FA45D2"/>
    <w:rsid w:val="11024527"/>
    <w:rsid w:val="110A4489"/>
    <w:rsid w:val="11150F62"/>
    <w:rsid w:val="111A28E5"/>
    <w:rsid w:val="112F54D2"/>
    <w:rsid w:val="113079D9"/>
    <w:rsid w:val="11314537"/>
    <w:rsid w:val="11315AA2"/>
    <w:rsid w:val="1133321C"/>
    <w:rsid w:val="11457D8C"/>
    <w:rsid w:val="11461F96"/>
    <w:rsid w:val="114C3CA8"/>
    <w:rsid w:val="114D3A1D"/>
    <w:rsid w:val="11562BF2"/>
    <w:rsid w:val="11576536"/>
    <w:rsid w:val="11607F73"/>
    <w:rsid w:val="11613A1B"/>
    <w:rsid w:val="11703DE0"/>
    <w:rsid w:val="117338ED"/>
    <w:rsid w:val="117561EB"/>
    <w:rsid w:val="11781FEE"/>
    <w:rsid w:val="117824F0"/>
    <w:rsid w:val="11792222"/>
    <w:rsid w:val="117E2370"/>
    <w:rsid w:val="11800455"/>
    <w:rsid w:val="11847341"/>
    <w:rsid w:val="11996649"/>
    <w:rsid w:val="11A94C35"/>
    <w:rsid w:val="11AA61BD"/>
    <w:rsid w:val="11AC7561"/>
    <w:rsid w:val="11AE224E"/>
    <w:rsid w:val="11AE6531"/>
    <w:rsid w:val="11AF439E"/>
    <w:rsid w:val="11B50817"/>
    <w:rsid w:val="11B66269"/>
    <w:rsid w:val="11B95CC7"/>
    <w:rsid w:val="11B95F1C"/>
    <w:rsid w:val="11BA0839"/>
    <w:rsid w:val="11CA3974"/>
    <w:rsid w:val="11D66A42"/>
    <w:rsid w:val="11E4369D"/>
    <w:rsid w:val="11E814F7"/>
    <w:rsid w:val="11EE4F27"/>
    <w:rsid w:val="11F267E8"/>
    <w:rsid w:val="11F427FC"/>
    <w:rsid w:val="11FF2044"/>
    <w:rsid w:val="12066C25"/>
    <w:rsid w:val="1210456D"/>
    <w:rsid w:val="12134828"/>
    <w:rsid w:val="12143598"/>
    <w:rsid w:val="121729B6"/>
    <w:rsid w:val="12210D27"/>
    <w:rsid w:val="12220941"/>
    <w:rsid w:val="122A6318"/>
    <w:rsid w:val="122C6138"/>
    <w:rsid w:val="123616D6"/>
    <w:rsid w:val="12396B0A"/>
    <w:rsid w:val="123A52C3"/>
    <w:rsid w:val="123E0CDC"/>
    <w:rsid w:val="125A02CC"/>
    <w:rsid w:val="126405F6"/>
    <w:rsid w:val="127222F3"/>
    <w:rsid w:val="127A66DE"/>
    <w:rsid w:val="127D422E"/>
    <w:rsid w:val="12845278"/>
    <w:rsid w:val="12863AEA"/>
    <w:rsid w:val="128C036A"/>
    <w:rsid w:val="128E70AD"/>
    <w:rsid w:val="129D41B7"/>
    <w:rsid w:val="12A05B41"/>
    <w:rsid w:val="12A45BB3"/>
    <w:rsid w:val="12AC51B9"/>
    <w:rsid w:val="12B1068C"/>
    <w:rsid w:val="12B5075C"/>
    <w:rsid w:val="12BC3C60"/>
    <w:rsid w:val="12C56362"/>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0D7CA1"/>
    <w:rsid w:val="131046DE"/>
    <w:rsid w:val="131B2229"/>
    <w:rsid w:val="131B463A"/>
    <w:rsid w:val="131D12BF"/>
    <w:rsid w:val="131D5DAE"/>
    <w:rsid w:val="13217B01"/>
    <w:rsid w:val="13253FC4"/>
    <w:rsid w:val="132625C2"/>
    <w:rsid w:val="132A7435"/>
    <w:rsid w:val="13322AD3"/>
    <w:rsid w:val="133B5756"/>
    <w:rsid w:val="134904A6"/>
    <w:rsid w:val="135845C3"/>
    <w:rsid w:val="135F5E4E"/>
    <w:rsid w:val="13700FDF"/>
    <w:rsid w:val="137F1B10"/>
    <w:rsid w:val="1382164E"/>
    <w:rsid w:val="13913843"/>
    <w:rsid w:val="13920C1D"/>
    <w:rsid w:val="13962CE5"/>
    <w:rsid w:val="13A62921"/>
    <w:rsid w:val="13AB3B97"/>
    <w:rsid w:val="13B35E26"/>
    <w:rsid w:val="13B42C01"/>
    <w:rsid w:val="13B445AD"/>
    <w:rsid w:val="13B66BD2"/>
    <w:rsid w:val="13BF66BA"/>
    <w:rsid w:val="13CA31CB"/>
    <w:rsid w:val="13CC4189"/>
    <w:rsid w:val="13CD1105"/>
    <w:rsid w:val="13D27C86"/>
    <w:rsid w:val="13D765AD"/>
    <w:rsid w:val="13D90BC5"/>
    <w:rsid w:val="13DC36E2"/>
    <w:rsid w:val="13F22B81"/>
    <w:rsid w:val="13F63C07"/>
    <w:rsid w:val="13FD4FCC"/>
    <w:rsid w:val="13FE285E"/>
    <w:rsid w:val="1400502D"/>
    <w:rsid w:val="1410395F"/>
    <w:rsid w:val="141624C3"/>
    <w:rsid w:val="14220CA7"/>
    <w:rsid w:val="142E6CAD"/>
    <w:rsid w:val="143802F8"/>
    <w:rsid w:val="144442DA"/>
    <w:rsid w:val="144C6544"/>
    <w:rsid w:val="14547289"/>
    <w:rsid w:val="1469341F"/>
    <w:rsid w:val="14794C74"/>
    <w:rsid w:val="14812D74"/>
    <w:rsid w:val="14836C15"/>
    <w:rsid w:val="14862300"/>
    <w:rsid w:val="148C00A0"/>
    <w:rsid w:val="148D3653"/>
    <w:rsid w:val="149E0A7B"/>
    <w:rsid w:val="14A82A63"/>
    <w:rsid w:val="14A86EA4"/>
    <w:rsid w:val="14AB4068"/>
    <w:rsid w:val="14AC358C"/>
    <w:rsid w:val="14B76730"/>
    <w:rsid w:val="14C767C8"/>
    <w:rsid w:val="14DE753E"/>
    <w:rsid w:val="14E64628"/>
    <w:rsid w:val="14E8709C"/>
    <w:rsid w:val="14F51028"/>
    <w:rsid w:val="14F549EC"/>
    <w:rsid w:val="14F92549"/>
    <w:rsid w:val="14FB4950"/>
    <w:rsid w:val="14FD4800"/>
    <w:rsid w:val="14FE45D8"/>
    <w:rsid w:val="150650CB"/>
    <w:rsid w:val="150E6B8B"/>
    <w:rsid w:val="15157DF4"/>
    <w:rsid w:val="151B0462"/>
    <w:rsid w:val="151C45D8"/>
    <w:rsid w:val="15290336"/>
    <w:rsid w:val="15297BD7"/>
    <w:rsid w:val="154D0578"/>
    <w:rsid w:val="154D4A84"/>
    <w:rsid w:val="155424D6"/>
    <w:rsid w:val="155605E9"/>
    <w:rsid w:val="155B1745"/>
    <w:rsid w:val="155C27D0"/>
    <w:rsid w:val="155F651D"/>
    <w:rsid w:val="15655F19"/>
    <w:rsid w:val="156870BF"/>
    <w:rsid w:val="157348EB"/>
    <w:rsid w:val="157500D8"/>
    <w:rsid w:val="15787FE5"/>
    <w:rsid w:val="157E21FE"/>
    <w:rsid w:val="157E5AA6"/>
    <w:rsid w:val="1587411C"/>
    <w:rsid w:val="15A80FDC"/>
    <w:rsid w:val="15AA7A19"/>
    <w:rsid w:val="15AC5259"/>
    <w:rsid w:val="15AE02B1"/>
    <w:rsid w:val="15AE46FA"/>
    <w:rsid w:val="15AE5475"/>
    <w:rsid w:val="15B06B12"/>
    <w:rsid w:val="15B75136"/>
    <w:rsid w:val="15BD21F5"/>
    <w:rsid w:val="15BE3D9D"/>
    <w:rsid w:val="15C30246"/>
    <w:rsid w:val="15C4476E"/>
    <w:rsid w:val="15C61DCD"/>
    <w:rsid w:val="15D4474D"/>
    <w:rsid w:val="15D7597F"/>
    <w:rsid w:val="160C437B"/>
    <w:rsid w:val="160F16A2"/>
    <w:rsid w:val="161033BE"/>
    <w:rsid w:val="16160429"/>
    <w:rsid w:val="161C3234"/>
    <w:rsid w:val="16277570"/>
    <w:rsid w:val="163562A4"/>
    <w:rsid w:val="1641433F"/>
    <w:rsid w:val="1649008E"/>
    <w:rsid w:val="164B2B96"/>
    <w:rsid w:val="164D6264"/>
    <w:rsid w:val="165511E0"/>
    <w:rsid w:val="165B3FF1"/>
    <w:rsid w:val="165C4863"/>
    <w:rsid w:val="165F5560"/>
    <w:rsid w:val="166052D6"/>
    <w:rsid w:val="1663476A"/>
    <w:rsid w:val="1668027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1CF3"/>
    <w:rsid w:val="16D359B1"/>
    <w:rsid w:val="16D550B0"/>
    <w:rsid w:val="16DC6856"/>
    <w:rsid w:val="16E7220A"/>
    <w:rsid w:val="16F45A48"/>
    <w:rsid w:val="16F7773E"/>
    <w:rsid w:val="16FD7F89"/>
    <w:rsid w:val="170133DA"/>
    <w:rsid w:val="170259E1"/>
    <w:rsid w:val="17026088"/>
    <w:rsid w:val="170353FD"/>
    <w:rsid w:val="17056BCC"/>
    <w:rsid w:val="171053FC"/>
    <w:rsid w:val="17137BE1"/>
    <w:rsid w:val="1715378E"/>
    <w:rsid w:val="17250F29"/>
    <w:rsid w:val="17256955"/>
    <w:rsid w:val="172B6CEB"/>
    <w:rsid w:val="17343071"/>
    <w:rsid w:val="17350245"/>
    <w:rsid w:val="17382580"/>
    <w:rsid w:val="174D3983"/>
    <w:rsid w:val="17535040"/>
    <w:rsid w:val="17595246"/>
    <w:rsid w:val="175E4288"/>
    <w:rsid w:val="175F6489"/>
    <w:rsid w:val="17650A34"/>
    <w:rsid w:val="17652ACF"/>
    <w:rsid w:val="176C704A"/>
    <w:rsid w:val="176F4E54"/>
    <w:rsid w:val="1770193B"/>
    <w:rsid w:val="17712E1D"/>
    <w:rsid w:val="177408A2"/>
    <w:rsid w:val="177653C5"/>
    <w:rsid w:val="17785D83"/>
    <w:rsid w:val="17844C56"/>
    <w:rsid w:val="178A60FC"/>
    <w:rsid w:val="179559A6"/>
    <w:rsid w:val="17957384"/>
    <w:rsid w:val="17A30F12"/>
    <w:rsid w:val="17B32825"/>
    <w:rsid w:val="17BA48D6"/>
    <w:rsid w:val="17C0378A"/>
    <w:rsid w:val="17C535A1"/>
    <w:rsid w:val="17CC1D1C"/>
    <w:rsid w:val="17CD4A3A"/>
    <w:rsid w:val="17CD5EE0"/>
    <w:rsid w:val="17CF7D0A"/>
    <w:rsid w:val="17D1266A"/>
    <w:rsid w:val="17D47D7C"/>
    <w:rsid w:val="17D50FE7"/>
    <w:rsid w:val="17D77CA7"/>
    <w:rsid w:val="17DD34AB"/>
    <w:rsid w:val="17F223D1"/>
    <w:rsid w:val="17FC272C"/>
    <w:rsid w:val="17FE0B0A"/>
    <w:rsid w:val="17FE0C9F"/>
    <w:rsid w:val="17FF3C9D"/>
    <w:rsid w:val="180835FB"/>
    <w:rsid w:val="180A527C"/>
    <w:rsid w:val="18157481"/>
    <w:rsid w:val="181B3A35"/>
    <w:rsid w:val="18235E85"/>
    <w:rsid w:val="18331DAD"/>
    <w:rsid w:val="183945C9"/>
    <w:rsid w:val="183E4121"/>
    <w:rsid w:val="18420253"/>
    <w:rsid w:val="18421B7F"/>
    <w:rsid w:val="18457138"/>
    <w:rsid w:val="18533B98"/>
    <w:rsid w:val="18611739"/>
    <w:rsid w:val="186B15D6"/>
    <w:rsid w:val="186C1DBE"/>
    <w:rsid w:val="186C5153"/>
    <w:rsid w:val="186E738D"/>
    <w:rsid w:val="186F36A8"/>
    <w:rsid w:val="187640ED"/>
    <w:rsid w:val="187F7AC5"/>
    <w:rsid w:val="18804AA7"/>
    <w:rsid w:val="188C4F53"/>
    <w:rsid w:val="18A16B9A"/>
    <w:rsid w:val="18A94FC3"/>
    <w:rsid w:val="18AA6214"/>
    <w:rsid w:val="18AB1905"/>
    <w:rsid w:val="18AC724D"/>
    <w:rsid w:val="18AE7260"/>
    <w:rsid w:val="18AF5199"/>
    <w:rsid w:val="18AF7C5B"/>
    <w:rsid w:val="18B417E1"/>
    <w:rsid w:val="18C9246D"/>
    <w:rsid w:val="18CC75E7"/>
    <w:rsid w:val="18CF7D05"/>
    <w:rsid w:val="18D93B85"/>
    <w:rsid w:val="18D979C0"/>
    <w:rsid w:val="18DE1E44"/>
    <w:rsid w:val="18DE5861"/>
    <w:rsid w:val="18E67034"/>
    <w:rsid w:val="18E872D7"/>
    <w:rsid w:val="18E921AF"/>
    <w:rsid w:val="18EA68A3"/>
    <w:rsid w:val="18F06558"/>
    <w:rsid w:val="18F3471F"/>
    <w:rsid w:val="18F931E6"/>
    <w:rsid w:val="18FA042B"/>
    <w:rsid w:val="18FE4771"/>
    <w:rsid w:val="19046384"/>
    <w:rsid w:val="19065891"/>
    <w:rsid w:val="1911427B"/>
    <w:rsid w:val="19144A06"/>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3B91"/>
    <w:rsid w:val="19764535"/>
    <w:rsid w:val="19772552"/>
    <w:rsid w:val="198374F4"/>
    <w:rsid w:val="1989194D"/>
    <w:rsid w:val="19894C83"/>
    <w:rsid w:val="198B2318"/>
    <w:rsid w:val="19A7296F"/>
    <w:rsid w:val="19B94DE5"/>
    <w:rsid w:val="19BB7983"/>
    <w:rsid w:val="19CA4702"/>
    <w:rsid w:val="19D04C3C"/>
    <w:rsid w:val="19D76F77"/>
    <w:rsid w:val="19DE7440"/>
    <w:rsid w:val="19ED386F"/>
    <w:rsid w:val="19FF1298"/>
    <w:rsid w:val="19FF3821"/>
    <w:rsid w:val="1A03072C"/>
    <w:rsid w:val="1A045B87"/>
    <w:rsid w:val="1A06358A"/>
    <w:rsid w:val="1A210157"/>
    <w:rsid w:val="1A227E2A"/>
    <w:rsid w:val="1A365F00"/>
    <w:rsid w:val="1A484A02"/>
    <w:rsid w:val="1A4D1CE1"/>
    <w:rsid w:val="1A5760FC"/>
    <w:rsid w:val="1A5B0C0F"/>
    <w:rsid w:val="1A5F7253"/>
    <w:rsid w:val="1A6A0EEA"/>
    <w:rsid w:val="1A6D22C8"/>
    <w:rsid w:val="1A711E38"/>
    <w:rsid w:val="1A725418"/>
    <w:rsid w:val="1A7A2EF9"/>
    <w:rsid w:val="1A7F4EDC"/>
    <w:rsid w:val="1A813E2C"/>
    <w:rsid w:val="1A8C7019"/>
    <w:rsid w:val="1A8F2FDB"/>
    <w:rsid w:val="1A960E81"/>
    <w:rsid w:val="1A972C69"/>
    <w:rsid w:val="1A9A0C93"/>
    <w:rsid w:val="1AB02AE4"/>
    <w:rsid w:val="1AB359A1"/>
    <w:rsid w:val="1ABD31B9"/>
    <w:rsid w:val="1ABF3A95"/>
    <w:rsid w:val="1AC91D4C"/>
    <w:rsid w:val="1AC957B3"/>
    <w:rsid w:val="1ACE2A77"/>
    <w:rsid w:val="1AD03069"/>
    <w:rsid w:val="1AD536DD"/>
    <w:rsid w:val="1AD55B02"/>
    <w:rsid w:val="1AD71252"/>
    <w:rsid w:val="1ADA6731"/>
    <w:rsid w:val="1ADC2627"/>
    <w:rsid w:val="1AF06C95"/>
    <w:rsid w:val="1AF34AE5"/>
    <w:rsid w:val="1AF3712C"/>
    <w:rsid w:val="1AF84C8C"/>
    <w:rsid w:val="1AFE2079"/>
    <w:rsid w:val="1B00502A"/>
    <w:rsid w:val="1B08241D"/>
    <w:rsid w:val="1B082CC4"/>
    <w:rsid w:val="1B0B3B20"/>
    <w:rsid w:val="1B1613A0"/>
    <w:rsid w:val="1B1F30D9"/>
    <w:rsid w:val="1B2079AD"/>
    <w:rsid w:val="1B27007D"/>
    <w:rsid w:val="1B2A7E36"/>
    <w:rsid w:val="1B2B1C07"/>
    <w:rsid w:val="1B2F42C3"/>
    <w:rsid w:val="1B324397"/>
    <w:rsid w:val="1B372EB9"/>
    <w:rsid w:val="1B39636C"/>
    <w:rsid w:val="1B40005E"/>
    <w:rsid w:val="1B4268B4"/>
    <w:rsid w:val="1B427936"/>
    <w:rsid w:val="1B4A5CBC"/>
    <w:rsid w:val="1B4C05DF"/>
    <w:rsid w:val="1B5D3106"/>
    <w:rsid w:val="1B7906CE"/>
    <w:rsid w:val="1B7D07F3"/>
    <w:rsid w:val="1B831B2B"/>
    <w:rsid w:val="1B8E3B33"/>
    <w:rsid w:val="1B9219EE"/>
    <w:rsid w:val="1B944685"/>
    <w:rsid w:val="1B9B3AD0"/>
    <w:rsid w:val="1BA258AE"/>
    <w:rsid w:val="1BA57F07"/>
    <w:rsid w:val="1BAA3905"/>
    <w:rsid w:val="1BB01F6E"/>
    <w:rsid w:val="1BB81DD8"/>
    <w:rsid w:val="1BB848C7"/>
    <w:rsid w:val="1BB86F3A"/>
    <w:rsid w:val="1BC81617"/>
    <w:rsid w:val="1BCA7505"/>
    <w:rsid w:val="1BD91032"/>
    <w:rsid w:val="1BDD2FB0"/>
    <w:rsid w:val="1BEF7D4B"/>
    <w:rsid w:val="1BF768CD"/>
    <w:rsid w:val="1BF92025"/>
    <w:rsid w:val="1BF9326D"/>
    <w:rsid w:val="1C036FDA"/>
    <w:rsid w:val="1C0730F3"/>
    <w:rsid w:val="1C08111C"/>
    <w:rsid w:val="1C0B33CB"/>
    <w:rsid w:val="1C0D0258"/>
    <w:rsid w:val="1C0D60C9"/>
    <w:rsid w:val="1C170D5E"/>
    <w:rsid w:val="1C191CF6"/>
    <w:rsid w:val="1C206F70"/>
    <w:rsid w:val="1C277F9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41310"/>
    <w:rsid w:val="1C9A166E"/>
    <w:rsid w:val="1CA16CCE"/>
    <w:rsid w:val="1CAA7318"/>
    <w:rsid w:val="1CAD2752"/>
    <w:rsid w:val="1CB37D44"/>
    <w:rsid w:val="1CB702E9"/>
    <w:rsid w:val="1CBA5B32"/>
    <w:rsid w:val="1CBE0F85"/>
    <w:rsid w:val="1CBE5026"/>
    <w:rsid w:val="1CBE60A5"/>
    <w:rsid w:val="1CC774CF"/>
    <w:rsid w:val="1CCD6D74"/>
    <w:rsid w:val="1CD363DF"/>
    <w:rsid w:val="1CD97139"/>
    <w:rsid w:val="1CE13063"/>
    <w:rsid w:val="1CE2616E"/>
    <w:rsid w:val="1CEB4BB9"/>
    <w:rsid w:val="1CF0171B"/>
    <w:rsid w:val="1CF333A5"/>
    <w:rsid w:val="1CFD6487"/>
    <w:rsid w:val="1D023336"/>
    <w:rsid w:val="1D031DDA"/>
    <w:rsid w:val="1D0B731D"/>
    <w:rsid w:val="1D141C8F"/>
    <w:rsid w:val="1D1D6A68"/>
    <w:rsid w:val="1D1F1D0C"/>
    <w:rsid w:val="1D2054C4"/>
    <w:rsid w:val="1D230995"/>
    <w:rsid w:val="1D24658B"/>
    <w:rsid w:val="1D2E2EDD"/>
    <w:rsid w:val="1D2E77E8"/>
    <w:rsid w:val="1D4367AF"/>
    <w:rsid w:val="1D4969F4"/>
    <w:rsid w:val="1D4C117F"/>
    <w:rsid w:val="1D513E68"/>
    <w:rsid w:val="1D563E2F"/>
    <w:rsid w:val="1D5A17CD"/>
    <w:rsid w:val="1D6033FE"/>
    <w:rsid w:val="1D614ED4"/>
    <w:rsid w:val="1D684015"/>
    <w:rsid w:val="1D6F79AF"/>
    <w:rsid w:val="1D7C6E19"/>
    <w:rsid w:val="1D8F5B72"/>
    <w:rsid w:val="1D8F6826"/>
    <w:rsid w:val="1D9B17FC"/>
    <w:rsid w:val="1D9B69B7"/>
    <w:rsid w:val="1D9C5DA0"/>
    <w:rsid w:val="1D9C7126"/>
    <w:rsid w:val="1D9F462B"/>
    <w:rsid w:val="1DA05157"/>
    <w:rsid w:val="1DA265B5"/>
    <w:rsid w:val="1DB26ED0"/>
    <w:rsid w:val="1DB835A9"/>
    <w:rsid w:val="1DBC2261"/>
    <w:rsid w:val="1DC254A8"/>
    <w:rsid w:val="1DC603E1"/>
    <w:rsid w:val="1DDA2DA2"/>
    <w:rsid w:val="1DEC45ED"/>
    <w:rsid w:val="1DEE14F5"/>
    <w:rsid w:val="1DF2745E"/>
    <w:rsid w:val="1E093D7D"/>
    <w:rsid w:val="1E1D7E95"/>
    <w:rsid w:val="1E201A27"/>
    <w:rsid w:val="1E224747"/>
    <w:rsid w:val="1E231B0F"/>
    <w:rsid w:val="1E287E58"/>
    <w:rsid w:val="1E304B88"/>
    <w:rsid w:val="1E3E02E7"/>
    <w:rsid w:val="1E6703B7"/>
    <w:rsid w:val="1E680B85"/>
    <w:rsid w:val="1E6B2336"/>
    <w:rsid w:val="1E7845CD"/>
    <w:rsid w:val="1E8028A0"/>
    <w:rsid w:val="1E8B032D"/>
    <w:rsid w:val="1E8B7AD0"/>
    <w:rsid w:val="1E8E3E30"/>
    <w:rsid w:val="1E980E8B"/>
    <w:rsid w:val="1E9D4737"/>
    <w:rsid w:val="1E9D55A8"/>
    <w:rsid w:val="1EA13E87"/>
    <w:rsid w:val="1EA600CF"/>
    <w:rsid w:val="1EAF4E87"/>
    <w:rsid w:val="1EB50D64"/>
    <w:rsid w:val="1EB65A12"/>
    <w:rsid w:val="1EC11B39"/>
    <w:rsid w:val="1EC80437"/>
    <w:rsid w:val="1ED15DFD"/>
    <w:rsid w:val="1ED874EC"/>
    <w:rsid w:val="1ED94E25"/>
    <w:rsid w:val="1EDB6C5F"/>
    <w:rsid w:val="1EDF4266"/>
    <w:rsid w:val="1EE04ADD"/>
    <w:rsid w:val="1EE36B24"/>
    <w:rsid w:val="1EE6740D"/>
    <w:rsid w:val="1EEC1621"/>
    <w:rsid w:val="1EED7A29"/>
    <w:rsid w:val="1EFB216C"/>
    <w:rsid w:val="1F0D14F3"/>
    <w:rsid w:val="1F141EF2"/>
    <w:rsid w:val="1F1F0D03"/>
    <w:rsid w:val="1F303EA7"/>
    <w:rsid w:val="1F304B80"/>
    <w:rsid w:val="1F30637A"/>
    <w:rsid w:val="1F3111CE"/>
    <w:rsid w:val="1F3C6AF7"/>
    <w:rsid w:val="1F405E44"/>
    <w:rsid w:val="1F443F14"/>
    <w:rsid w:val="1F4A3D83"/>
    <w:rsid w:val="1F4E681F"/>
    <w:rsid w:val="1F5324C1"/>
    <w:rsid w:val="1F561E2A"/>
    <w:rsid w:val="1F5E088A"/>
    <w:rsid w:val="1F5E2583"/>
    <w:rsid w:val="1F661994"/>
    <w:rsid w:val="1F672A0E"/>
    <w:rsid w:val="1F6833F6"/>
    <w:rsid w:val="1F68659A"/>
    <w:rsid w:val="1F7959F4"/>
    <w:rsid w:val="1F7C19E4"/>
    <w:rsid w:val="1F83562C"/>
    <w:rsid w:val="1F8A5F10"/>
    <w:rsid w:val="1F943BF0"/>
    <w:rsid w:val="1F952CA7"/>
    <w:rsid w:val="1FA059EC"/>
    <w:rsid w:val="1FA12A08"/>
    <w:rsid w:val="1FA82FF9"/>
    <w:rsid w:val="1FA86DEF"/>
    <w:rsid w:val="1FAC192E"/>
    <w:rsid w:val="1FAD796D"/>
    <w:rsid w:val="1FB260BE"/>
    <w:rsid w:val="1FB54204"/>
    <w:rsid w:val="1FB63655"/>
    <w:rsid w:val="1FBD7AAE"/>
    <w:rsid w:val="1FBE77B2"/>
    <w:rsid w:val="1FC26AB9"/>
    <w:rsid w:val="1FC46F9E"/>
    <w:rsid w:val="1FC511F0"/>
    <w:rsid w:val="1FC7659B"/>
    <w:rsid w:val="1FD35404"/>
    <w:rsid w:val="1FD54C83"/>
    <w:rsid w:val="1FE045AC"/>
    <w:rsid w:val="1FE76FD3"/>
    <w:rsid w:val="1FE91483"/>
    <w:rsid w:val="1FED166B"/>
    <w:rsid w:val="1FF05FBA"/>
    <w:rsid w:val="1FF2649D"/>
    <w:rsid w:val="2000119F"/>
    <w:rsid w:val="20007200"/>
    <w:rsid w:val="20023827"/>
    <w:rsid w:val="200D53BE"/>
    <w:rsid w:val="200E46CD"/>
    <w:rsid w:val="20107ED3"/>
    <w:rsid w:val="201359DF"/>
    <w:rsid w:val="20140382"/>
    <w:rsid w:val="201C304F"/>
    <w:rsid w:val="201C690F"/>
    <w:rsid w:val="20275ED1"/>
    <w:rsid w:val="203B1416"/>
    <w:rsid w:val="203C2005"/>
    <w:rsid w:val="20420995"/>
    <w:rsid w:val="20447B3E"/>
    <w:rsid w:val="204D7AED"/>
    <w:rsid w:val="204F595B"/>
    <w:rsid w:val="20531AF2"/>
    <w:rsid w:val="206301A7"/>
    <w:rsid w:val="20642E89"/>
    <w:rsid w:val="2067334B"/>
    <w:rsid w:val="206F7CD5"/>
    <w:rsid w:val="207778B9"/>
    <w:rsid w:val="207E34E5"/>
    <w:rsid w:val="20850EC1"/>
    <w:rsid w:val="20857EFE"/>
    <w:rsid w:val="20911227"/>
    <w:rsid w:val="20934FE0"/>
    <w:rsid w:val="209511C3"/>
    <w:rsid w:val="209A17A4"/>
    <w:rsid w:val="209E715A"/>
    <w:rsid w:val="20A70ABE"/>
    <w:rsid w:val="20B836F9"/>
    <w:rsid w:val="20BD741D"/>
    <w:rsid w:val="20BF422E"/>
    <w:rsid w:val="20C10077"/>
    <w:rsid w:val="20C261C8"/>
    <w:rsid w:val="20C37A68"/>
    <w:rsid w:val="20C96FD1"/>
    <w:rsid w:val="20CC2666"/>
    <w:rsid w:val="20D562D7"/>
    <w:rsid w:val="20D957D0"/>
    <w:rsid w:val="20DA5281"/>
    <w:rsid w:val="20DB6325"/>
    <w:rsid w:val="20E35BDE"/>
    <w:rsid w:val="20E416D2"/>
    <w:rsid w:val="20E9348D"/>
    <w:rsid w:val="20E94A32"/>
    <w:rsid w:val="20EB3474"/>
    <w:rsid w:val="20EF451E"/>
    <w:rsid w:val="20F667B9"/>
    <w:rsid w:val="20F90A4D"/>
    <w:rsid w:val="20FB7568"/>
    <w:rsid w:val="21065641"/>
    <w:rsid w:val="210D2CDA"/>
    <w:rsid w:val="211C7EF8"/>
    <w:rsid w:val="212477D7"/>
    <w:rsid w:val="212F6A59"/>
    <w:rsid w:val="21306305"/>
    <w:rsid w:val="21330562"/>
    <w:rsid w:val="21361B20"/>
    <w:rsid w:val="213D54AD"/>
    <w:rsid w:val="214169BB"/>
    <w:rsid w:val="2144141D"/>
    <w:rsid w:val="214F4863"/>
    <w:rsid w:val="21504A40"/>
    <w:rsid w:val="215B52DA"/>
    <w:rsid w:val="215F7E39"/>
    <w:rsid w:val="2163647D"/>
    <w:rsid w:val="21662166"/>
    <w:rsid w:val="216C54DE"/>
    <w:rsid w:val="217C7971"/>
    <w:rsid w:val="217D44BC"/>
    <w:rsid w:val="21936BCB"/>
    <w:rsid w:val="219619F8"/>
    <w:rsid w:val="219842E4"/>
    <w:rsid w:val="21997056"/>
    <w:rsid w:val="219B2AEE"/>
    <w:rsid w:val="219D3F2A"/>
    <w:rsid w:val="21AB4F6A"/>
    <w:rsid w:val="21AB77F7"/>
    <w:rsid w:val="21AD30AE"/>
    <w:rsid w:val="21B472C9"/>
    <w:rsid w:val="21B50781"/>
    <w:rsid w:val="21BF03BC"/>
    <w:rsid w:val="21BF480E"/>
    <w:rsid w:val="21CA711F"/>
    <w:rsid w:val="21CB01EA"/>
    <w:rsid w:val="21CB0E2A"/>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373E03"/>
    <w:rsid w:val="224E39DE"/>
    <w:rsid w:val="224E74D0"/>
    <w:rsid w:val="225C1E49"/>
    <w:rsid w:val="225F74A6"/>
    <w:rsid w:val="226456E9"/>
    <w:rsid w:val="22713317"/>
    <w:rsid w:val="227F5037"/>
    <w:rsid w:val="228041D7"/>
    <w:rsid w:val="228A008B"/>
    <w:rsid w:val="228A2082"/>
    <w:rsid w:val="228D63FC"/>
    <w:rsid w:val="229A7E25"/>
    <w:rsid w:val="22A200B5"/>
    <w:rsid w:val="22A84CE8"/>
    <w:rsid w:val="22AA0362"/>
    <w:rsid w:val="22AA773F"/>
    <w:rsid w:val="22B059F5"/>
    <w:rsid w:val="22B06BDB"/>
    <w:rsid w:val="22B63FB8"/>
    <w:rsid w:val="22BA2D5C"/>
    <w:rsid w:val="22BA6F2B"/>
    <w:rsid w:val="22BB7700"/>
    <w:rsid w:val="22BC7DF2"/>
    <w:rsid w:val="22BD19A6"/>
    <w:rsid w:val="22BD504B"/>
    <w:rsid w:val="22D61781"/>
    <w:rsid w:val="22E30977"/>
    <w:rsid w:val="22E752E7"/>
    <w:rsid w:val="22E95A8D"/>
    <w:rsid w:val="22F017B2"/>
    <w:rsid w:val="22F46B48"/>
    <w:rsid w:val="22F7088E"/>
    <w:rsid w:val="22F97E5B"/>
    <w:rsid w:val="22FA647A"/>
    <w:rsid w:val="23042520"/>
    <w:rsid w:val="230B07F6"/>
    <w:rsid w:val="23143B37"/>
    <w:rsid w:val="231544D3"/>
    <w:rsid w:val="2315496B"/>
    <w:rsid w:val="231637F9"/>
    <w:rsid w:val="23230E78"/>
    <w:rsid w:val="232853F4"/>
    <w:rsid w:val="232A7369"/>
    <w:rsid w:val="232C27B2"/>
    <w:rsid w:val="232C343E"/>
    <w:rsid w:val="232E7AA0"/>
    <w:rsid w:val="232F4B8E"/>
    <w:rsid w:val="233027B0"/>
    <w:rsid w:val="233779B4"/>
    <w:rsid w:val="233A4FFA"/>
    <w:rsid w:val="23415924"/>
    <w:rsid w:val="23437735"/>
    <w:rsid w:val="23566DDF"/>
    <w:rsid w:val="23572E7E"/>
    <w:rsid w:val="235924CA"/>
    <w:rsid w:val="23592D87"/>
    <w:rsid w:val="235F162F"/>
    <w:rsid w:val="23673863"/>
    <w:rsid w:val="236A053E"/>
    <w:rsid w:val="236D4F13"/>
    <w:rsid w:val="23746ACD"/>
    <w:rsid w:val="23750E9C"/>
    <w:rsid w:val="23752F81"/>
    <w:rsid w:val="237B7D6C"/>
    <w:rsid w:val="23837B67"/>
    <w:rsid w:val="23857493"/>
    <w:rsid w:val="238755B6"/>
    <w:rsid w:val="23885214"/>
    <w:rsid w:val="238B65DE"/>
    <w:rsid w:val="239130F2"/>
    <w:rsid w:val="23915F49"/>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194B93"/>
    <w:rsid w:val="241E1F2D"/>
    <w:rsid w:val="24211333"/>
    <w:rsid w:val="242461D7"/>
    <w:rsid w:val="24255B0A"/>
    <w:rsid w:val="242778EB"/>
    <w:rsid w:val="242A43E1"/>
    <w:rsid w:val="242C04D9"/>
    <w:rsid w:val="242E2FF6"/>
    <w:rsid w:val="242E7ECB"/>
    <w:rsid w:val="243D4279"/>
    <w:rsid w:val="243E6A2B"/>
    <w:rsid w:val="24401E98"/>
    <w:rsid w:val="24466AD7"/>
    <w:rsid w:val="24480B4D"/>
    <w:rsid w:val="244F2484"/>
    <w:rsid w:val="24506BD9"/>
    <w:rsid w:val="24550926"/>
    <w:rsid w:val="24574CEB"/>
    <w:rsid w:val="24595892"/>
    <w:rsid w:val="245D41D2"/>
    <w:rsid w:val="24667266"/>
    <w:rsid w:val="246E676E"/>
    <w:rsid w:val="24731A96"/>
    <w:rsid w:val="247A5C3A"/>
    <w:rsid w:val="247C5EE2"/>
    <w:rsid w:val="247C7B9E"/>
    <w:rsid w:val="247E1CE1"/>
    <w:rsid w:val="247F6CC6"/>
    <w:rsid w:val="24837A35"/>
    <w:rsid w:val="24864409"/>
    <w:rsid w:val="248654B3"/>
    <w:rsid w:val="248907B2"/>
    <w:rsid w:val="248C0528"/>
    <w:rsid w:val="248C26A3"/>
    <w:rsid w:val="24967BED"/>
    <w:rsid w:val="249A5E20"/>
    <w:rsid w:val="249C2676"/>
    <w:rsid w:val="249C6208"/>
    <w:rsid w:val="249E39E8"/>
    <w:rsid w:val="24A20ED0"/>
    <w:rsid w:val="24A34E4A"/>
    <w:rsid w:val="24AC41BF"/>
    <w:rsid w:val="24B631A8"/>
    <w:rsid w:val="24B8605B"/>
    <w:rsid w:val="24B93780"/>
    <w:rsid w:val="24BD38BA"/>
    <w:rsid w:val="24BF7CB7"/>
    <w:rsid w:val="24C0685F"/>
    <w:rsid w:val="24CD6DBE"/>
    <w:rsid w:val="24D20A06"/>
    <w:rsid w:val="24D51CDF"/>
    <w:rsid w:val="24E57853"/>
    <w:rsid w:val="24F17428"/>
    <w:rsid w:val="250253B9"/>
    <w:rsid w:val="250C5C6A"/>
    <w:rsid w:val="25176627"/>
    <w:rsid w:val="251E0656"/>
    <w:rsid w:val="251E186B"/>
    <w:rsid w:val="252053F9"/>
    <w:rsid w:val="25304AD5"/>
    <w:rsid w:val="25395126"/>
    <w:rsid w:val="254520AA"/>
    <w:rsid w:val="25467DBB"/>
    <w:rsid w:val="25473E3C"/>
    <w:rsid w:val="254C4068"/>
    <w:rsid w:val="254E34FC"/>
    <w:rsid w:val="25515E07"/>
    <w:rsid w:val="25584ADE"/>
    <w:rsid w:val="255B7461"/>
    <w:rsid w:val="255C3CE8"/>
    <w:rsid w:val="255E0BEA"/>
    <w:rsid w:val="256343AC"/>
    <w:rsid w:val="25771B32"/>
    <w:rsid w:val="257C1A72"/>
    <w:rsid w:val="257F18B5"/>
    <w:rsid w:val="25805FF5"/>
    <w:rsid w:val="25853026"/>
    <w:rsid w:val="25880457"/>
    <w:rsid w:val="258A3283"/>
    <w:rsid w:val="258C7883"/>
    <w:rsid w:val="258E66DC"/>
    <w:rsid w:val="258E6E3E"/>
    <w:rsid w:val="258F15BB"/>
    <w:rsid w:val="259231BD"/>
    <w:rsid w:val="25A6230F"/>
    <w:rsid w:val="25A77DD4"/>
    <w:rsid w:val="25AE0C1E"/>
    <w:rsid w:val="25BB6C64"/>
    <w:rsid w:val="25C87522"/>
    <w:rsid w:val="25C97301"/>
    <w:rsid w:val="25CC4C1C"/>
    <w:rsid w:val="25CD7961"/>
    <w:rsid w:val="25D64403"/>
    <w:rsid w:val="25EB7CD4"/>
    <w:rsid w:val="25F04B7D"/>
    <w:rsid w:val="25F51596"/>
    <w:rsid w:val="25F67042"/>
    <w:rsid w:val="25F67DCD"/>
    <w:rsid w:val="25F94BA8"/>
    <w:rsid w:val="260A55DA"/>
    <w:rsid w:val="260B255C"/>
    <w:rsid w:val="260E65B2"/>
    <w:rsid w:val="2611495B"/>
    <w:rsid w:val="2618762A"/>
    <w:rsid w:val="26187A15"/>
    <w:rsid w:val="26217848"/>
    <w:rsid w:val="262E20E8"/>
    <w:rsid w:val="262E34C1"/>
    <w:rsid w:val="263D5B98"/>
    <w:rsid w:val="263E0775"/>
    <w:rsid w:val="2640682F"/>
    <w:rsid w:val="26472F6E"/>
    <w:rsid w:val="264F2FA3"/>
    <w:rsid w:val="26510DB8"/>
    <w:rsid w:val="26531A21"/>
    <w:rsid w:val="266239C5"/>
    <w:rsid w:val="26626905"/>
    <w:rsid w:val="26667EB2"/>
    <w:rsid w:val="266B1FB8"/>
    <w:rsid w:val="267B7FD0"/>
    <w:rsid w:val="267E518B"/>
    <w:rsid w:val="26872779"/>
    <w:rsid w:val="26874AF8"/>
    <w:rsid w:val="2689029B"/>
    <w:rsid w:val="268B2131"/>
    <w:rsid w:val="26993F8A"/>
    <w:rsid w:val="269B3F13"/>
    <w:rsid w:val="26A17EEF"/>
    <w:rsid w:val="26A4288C"/>
    <w:rsid w:val="26A63366"/>
    <w:rsid w:val="26A968B5"/>
    <w:rsid w:val="26AC5BFD"/>
    <w:rsid w:val="26B33287"/>
    <w:rsid w:val="26B337BC"/>
    <w:rsid w:val="26B9766D"/>
    <w:rsid w:val="26BA59F2"/>
    <w:rsid w:val="26C36DE5"/>
    <w:rsid w:val="26C9404D"/>
    <w:rsid w:val="26CD53A8"/>
    <w:rsid w:val="26D323BB"/>
    <w:rsid w:val="26D45590"/>
    <w:rsid w:val="26D71CDF"/>
    <w:rsid w:val="26E53AE2"/>
    <w:rsid w:val="26EB2849"/>
    <w:rsid w:val="26F40E3F"/>
    <w:rsid w:val="26F40EBD"/>
    <w:rsid w:val="26F827F8"/>
    <w:rsid w:val="26F85687"/>
    <w:rsid w:val="26FA2DE3"/>
    <w:rsid w:val="26FF74CD"/>
    <w:rsid w:val="27003A4A"/>
    <w:rsid w:val="27125B0D"/>
    <w:rsid w:val="27130E1A"/>
    <w:rsid w:val="271B1671"/>
    <w:rsid w:val="271B6FAA"/>
    <w:rsid w:val="27222699"/>
    <w:rsid w:val="272A3F42"/>
    <w:rsid w:val="273216D6"/>
    <w:rsid w:val="2737572F"/>
    <w:rsid w:val="273D1CBA"/>
    <w:rsid w:val="27462901"/>
    <w:rsid w:val="2749419F"/>
    <w:rsid w:val="274A7B1A"/>
    <w:rsid w:val="275439E1"/>
    <w:rsid w:val="275658F1"/>
    <w:rsid w:val="276320D7"/>
    <w:rsid w:val="27684D1E"/>
    <w:rsid w:val="276F3D3A"/>
    <w:rsid w:val="27744B4E"/>
    <w:rsid w:val="278A6416"/>
    <w:rsid w:val="27907336"/>
    <w:rsid w:val="279408D2"/>
    <w:rsid w:val="279A2ED3"/>
    <w:rsid w:val="27A170DE"/>
    <w:rsid w:val="27A23025"/>
    <w:rsid w:val="27A46397"/>
    <w:rsid w:val="27B02558"/>
    <w:rsid w:val="27B03EC1"/>
    <w:rsid w:val="27B2667F"/>
    <w:rsid w:val="27B91021"/>
    <w:rsid w:val="27C06D17"/>
    <w:rsid w:val="27C66099"/>
    <w:rsid w:val="27CA7CDA"/>
    <w:rsid w:val="27D62FAF"/>
    <w:rsid w:val="27FE4240"/>
    <w:rsid w:val="280008FF"/>
    <w:rsid w:val="28050D91"/>
    <w:rsid w:val="280B0292"/>
    <w:rsid w:val="281035C6"/>
    <w:rsid w:val="28140E2A"/>
    <w:rsid w:val="28255041"/>
    <w:rsid w:val="282F44AF"/>
    <w:rsid w:val="283832F0"/>
    <w:rsid w:val="283A1E3E"/>
    <w:rsid w:val="284543A1"/>
    <w:rsid w:val="28553E1D"/>
    <w:rsid w:val="2866568E"/>
    <w:rsid w:val="28693318"/>
    <w:rsid w:val="286B3B61"/>
    <w:rsid w:val="28765DD5"/>
    <w:rsid w:val="28821314"/>
    <w:rsid w:val="28846D61"/>
    <w:rsid w:val="2891501A"/>
    <w:rsid w:val="28937E6D"/>
    <w:rsid w:val="28A66523"/>
    <w:rsid w:val="28AD2029"/>
    <w:rsid w:val="28AE4FA7"/>
    <w:rsid w:val="28B220F4"/>
    <w:rsid w:val="28BB2679"/>
    <w:rsid w:val="28BD44AE"/>
    <w:rsid w:val="28C075A4"/>
    <w:rsid w:val="28C77126"/>
    <w:rsid w:val="28CE2A8C"/>
    <w:rsid w:val="28D139F1"/>
    <w:rsid w:val="28D5169B"/>
    <w:rsid w:val="28DA6C60"/>
    <w:rsid w:val="28DB0A30"/>
    <w:rsid w:val="28F33F0D"/>
    <w:rsid w:val="28F72DB8"/>
    <w:rsid w:val="28F95F71"/>
    <w:rsid w:val="28FE6A8A"/>
    <w:rsid w:val="290503E7"/>
    <w:rsid w:val="290517ED"/>
    <w:rsid w:val="290753B9"/>
    <w:rsid w:val="291415DC"/>
    <w:rsid w:val="291712DF"/>
    <w:rsid w:val="29192BE8"/>
    <w:rsid w:val="291C432F"/>
    <w:rsid w:val="291D21EF"/>
    <w:rsid w:val="291D4F81"/>
    <w:rsid w:val="29264B1F"/>
    <w:rsid w:val="292A375F"/>
    <w:rsid w:val="29316984"/>
    <w:rsid w:val="293310A0"/>
    <w:rsid w:val="2938092A"/>
    <w:rsid w:val="293966D9"/>
    <w:rsid w:val="29425246"/>
    <w:rsid w:val="2946144E"/>
    <w:rsid w:val="2946760C"/>
    <w:rsid w:val="294A5BC8"/>
    <w:rsid w:val="29504176"/>
    <w:rsid w:val="296865F6"/>
    <w:rsid w:val="296B20A7"/>
    <w:rsid w:val="297D1A8B"/>
    <w:rsid w:val="298431C2"/>
    <w:rsid w:val="29906483"/>
    <w:rsid w:val="299301FE"/>
    <w:rsid w:val="29981CF5"/>
    <w:rsid w:val="29A4634A"/>
    <w:rsid w:val="29A84DD1"/>
    <w:rsid w:val="29AA2390"/>
    <w:rsid w:val="29B301F6"/>
    <w:rsid w:val="29B85AFC"/>
    <w:rsid w:val="29BB74AF"/>
    <w:rsid w:val="29BC2AA4"/>
    <w:rsid w:val="29C31CA9"/>
    <w:rsid w:val="29CD2270"/>
    <w:rsid w:val="29D03220"/>
    <w:rsid w:val="29D0429A"/>
    <w:rsid w:val="29D22D87"/>
    <w:rsid w:val="29DA58FD"/>
    <w:rsid w:val="29DB020F"/>
    <w:rsid w:val="29E37603"/>
    <w:rsid w:val="29E64370"/>
    <w:rsid w:val="29E765AE"/>
    <w:rsid w:val="29EB2636"/>
    <w:rsid w:val="29ED4F50"/>
    <w:rsid w:val="29F26903"/>
    <w:rsid w:val="2A06427E"/>
    <w:rsid w:val="2A0F1A72"/>
    <w:rsid w:val="2A0F7591"/>
    <w:rsid w:val="2A13176E"/>
    <w:rsid w:val="2A216713"/>
    <w:rsid w:val="2A220953"/>
    <w:rsid w:val="2A222BC6"/>
    <w:rsid w:val="2A253395"/>
    <w:rsid w:val="2A3B063B"/>
    <w:rsid w:val="2A49761F"/>
    <w:rsid w:val="2A4C74B8"/>
    <w:rsid w:val="2A4F133B"/>
    <w:rsid w:val="2A4F49D1"/>
    <w:rsid w:val="2A500712"/>
    <w:rsid w:val="2A627A42"/>
    <w:rsid w:val="2A630308"/>
    <w:rsid w:val="2A676AD0"/>
    <w:rsid w:val="2A687AA6"/>
    <w:rsid w:val="2A6A2073"/>
    <w:rsid w:val="2A6B3A39"/>
    <w:rsid w:val="2A7317FC"/>
    <w:rsid w:val="2A766C61"/>
    <w:rsid w:val="2A770CC7"/>
    <w:rsid w:val="2A7A022E"/>
    <w:rsid w:val="2A8A27A6"/>
    <w:rsid w:val="2A8B1FCC"/>
    <w:rsid w:val="2A9242DB"/>
    <w:rsid w:val="2A9303DF"/>
    <w:rsid w:val="2A9A66D4"/>
    <w:rsid w:val="2AA12DD3"/>
    <w:rsid w:val="2AAA29AB"/>
    <w:rsid w:val="2AAC36BD"/>
    <w:rsid w:val="2AB04937"/>
    <w:rsid w:val="2AB86677"/>
    <w:rsid w:val="2ABC2E55"/>
    <w:rsid w:val="2AC90132"/>
    <w:rsid w:val="2ACF5AEC"/>
    <w:rsid w:val="2AD62AB0"/>
    <w:rsid w:val="2ADC1447"/>
    <w:rsid w:val="2ADE1583"/>
    <w:rsid w:val="2ADE1D84"/>
    <w:rsid w:val="2AE70523"/>
    <w:rsid w:val="2AF12CDF"/>
    <w:rsid w:val="2AF27DCB"/>
    <w:rsid w:val="2AF86D0B"/>
    <w:rsid w:val="2AF92B4F"/>
    <w:rsid w:val="2B0726A6"/>
    <w:rsid w:val="2B0C6B23"/>
    <w:rsid w:val="2B1D6F4B"/>
    <w:rsid w:val="2B2927FB"/>
    <w:rsid w:val="2B2B5653"/>
    <w:rsid w:val="2B2D1363"/>
    <w:rsid w:val="2B306C2A"/>
    <w:rsid w:val="2B335E16"/>
    <w:rsid w:val="2B3429F1"/>
    <w:rsid w:val="2B42025A"/>
    <w:rsid w:val="2B450516"/>
    <w:rsid w:val="2B4526E2"/>
    <w:rsid w:val="2B4722C4"/>
    <w:rsid w:val="2B592A46"/>
    <w:rsid w:val="2B5B7165"/>
    <w:rsid w:val="2B611B55"/>
    <w:rsid w:val="2B6163DB"/>
    <w:rsid w:val="2B686C09"/>
    <w:rsid w:val="2B795BD8"/>
    <w:rsid w:val="2B8759DF"/>
    <w:rsid w:val="2B8A4F1A"/>
    <w:rsid w:val="2B8B34AB"/>
    <w:rsid w:val="2B914C5E"/>
    <w:rsid w:val="2BA252E6"/>
    <w:rsid w:val="2BA43A43"/>
    <w:rsid w:val="2BA53554"/>
    <w:rsid w:val="2BB44220"/>
    <w:rsid w:val="2BB61EA7"/>
    <w:rsid w:val="2BB644A0"/>
    <w:rsid w:val="2BBA6EF5"/>
    <w:rsid w:val="2BBD5502"/>
    <w:rsid w:val="2BC03979"/>
    <w:rsid w:val="2BC941AF"/>
    <w:rsid w:val="2BDC02CD"/>
    <w:rsid w:val="2BE64A3E"/>
    <w:rsid w:val="2BEC4F7F"/>
    <w:rsid w:val="2BF01DD3"/>
    <w:rsid w:val="2BF15487"/>
    <w:rsid w:val="2BF445F5"/>
    <w:rsid w:val="2BF51B27"/>
    <w:rsid w:val="2C027101"/>
    <w:rsid w:val="2C047EF1"/>
    <w:rsid w:val="2C0959E0"/>
    <w:rsid w:val="2C11705A"/>
    <w:rsid w:val="2C1216FD"/>
    <w:rsid w:val="2C1F2C4F"/>
    <w:rsid w:val="2C253658"/>
    <w:rsid w:val="2C26373D"/>
    <w:rsid w:val="2C3256C0"/>
    <w:rsid w:val="2C395B9E"/>
    <w:rsid w:val="2C3B4053"/>
    <w:rsid w:val="2C3D433E"/>
    <w:rsid w:val="2C416890"/>
    <w:rsid w:val="2C4725E8"/>
    <w:rsid w:val="2C4D767D"/>
    <w:rsid w:val="2C5514C6"/>
    <w:rsid w:val="2C5B6D3D"/>
    <w:rsid w:val="2C5C2032"/>
    <w:rsid w:val="2C5E21B4"/>
    <w:rsid w:val="2C5F0C97"/>
    <w:rsid w:val="2C677A44"/>
    <w:rsid w:val="2C6B4038"/>
    <w:rsid w:val="2C6D2FDD"/>
    <w:rsid w:val="2C72088D"/>
    <w:rsid w:val="2C7A3BB0"/>
    <w:rsid w:val="2C7B3727"/>
    <w:rsid w:val="2C7D6665"/>
    <w:rsid w:val="2C7E0668"/>
    <w:rsid w:val="2C7E4570"/>
    <w:rsid w:val="2C81066F"/>
    <w:rsid w:val="2C865A05"/>
    <w:rsid w:val="2C8B0557"/>
    <w:rsid w:val="2C9A28D3"/>
    <w:rsid w:val="2CB35779"/>
    <w:rsid w:val="2CBC4209"/>
    <w:rsid w:val="2CC12D54"/>
    <w:rsid w:val="2CC172A5"/>
    <w:rsid w:val="2CC9742A"/>
    <w:rsid w:val="2CCB3003"/>
    <w:rsid w:val="2CDA4FDA"/>
    <w:rsid w:val="2CDC7091"/>
    <w:rsid w:val="2CE128DC"/>
    <w:rsid w:val="2CE16D71"/>
    <w:rsid w:val="2CE437C2"/>
    <w:rsid w:val="2CED6828"/>
    <w:rsid w:val="2CF4201A"/>
    <w:rsid w:val="2CFC278D"/>
    <w:rsid w:val="2CFD5C64"/>
    <w:rsid w:val="2D0128E8"/>
    <w:rsid w:val="2D0450C7"/>
    <w:rsid w:val="2D0C5A2F"/>
    <w:rsid w:val="2D0E231B"/>
    <w:rsid w:val="2D145154"/>
    <w:rsid w:val="2D1A1A6B"/>
    <w:rsid w:val="2D1A4915"/>
    <w:rsid w:val="2D306B85"/>
    <w:rsid w:val="2D317173"/>
    <w:rsid w:val="2D323D75"/>
    <w:rsid w:val="2D400A9F"/>
    <w:rsid w:val="2D42637A"/>
    <w:rsid w:val="2D540857"/>
    <w:rsid w:val="2D590555"/>
    <w:rsid w:val="2D726428"/>
    <w:rsid w:val="2D7A06F1"/>
    <w:rsid w:val="2D8151A4"/>
    <w:rsid w:val="2D9F16BD"/>
    <w:rsid w:val="2DA02E9C"/>
    <w:rsid w:val="2DA93215"/>
    <w:rsid w:val="2DB41425"/>
    <w:rsid w:val="2DB971A2"/>
    <w:rsid w:val="2DBB1852"/>
    <w:rsid w:val="2DBF0C3E"/>
    <w:rsid w:val="2DBF1601"/>
    <w:rsid w:val="2DBF4C3A"/>
    <w:rsid w:val="2DC464AC"/>
    <w:rsid w:val="2DC72463"/>
    <w:rsid w:val="2DD06A7C"/>
    <w:rsid w:val="2DD06AF3"/>
    <w:rsid w:val="2DDA3DB3"/>
    <w:rsid w:val="2DDD1D4C"/>
    <w:rsid w:val="2DF04CFF"/>
    <w:rsid w:val="2DF6091F"/>
    <w:rsid w:val="2DF77C3F"/>
    <w:rsid w:val="2DFA6574"/>
    <w:rsid w:val="2DFB6F69"/>
    <w:rsid w:val="2E001622"/>
    <w:rsid w:val="2E040A80"/>
    <w:rsid w:val="2E095C19"/>
    <w:rsid w:val="2E0F3A78"/>
    <w:rsid w:val="2E1530A6"/>
    <w:rsid w:val="2E160B5E"/>
    <w:rsid w:val="2E1859B1"/>
    <w:rsid w:val="2E1868C5"/>
    <w:rsid w:val="2E190FE7"/>
    <w:rsid w:val="2E2630D7"/>
    <w:rsid w:val="2E2806DD"/>
    <w:rsid w:val="2E2A4425"/>
    <w:rsid w:val="2E2F3046"/>
    <w:rsid w:val="2E302808"/>
    <w:rsid w:val="2E3A3030"/>
    <w:rsid w:val="2E3C084B"/>
    <w:rsid w:val="2E46069F"/>
    <w:rsid w:val="2E4B21B3"/>
    <w:rsid w:val="2E5608F9"/>
    <w:rsid w:val="2E59206F"/>
    <w:rsid w:val="2E5A4A75"/>
    <w:rsid w:val="2E625594"/>
    <w:rsid w:val="2E6B29AA"/>
    <w:rsid w:val="2E6F4813"/>
    <w:rsid w:val="2E705752"/>
    <w:rsid w:val="2E7622E7"/>
    <w:rsid w:val="2E7A5E34"/>
    <w:rsid w:val="2E7B65BB"/>
    <w:rsid w:val="2E855C37"/>
    <w:rsid w:val="2E8863A8"/>
    <w:rsid w:val="2E8F09A4"/>
    <w:rsid w:val="2E914A07"/>
    <w:rsid w:val="2E993370"/>
    <w:rsid w:val="2E9A086A"/>
    <w:rsid w:val="2E9A69ED"/>
    <w:rsid w:val="2EA049A8"/>
    <w:rsid w:val="2EA26ABE"/>
    <w:rsid w:val="2EA72F10"/>
    <w:rsid w:val="2EA74B75"/>
    <w:rsid w:val="2EA903C6"/>
    <w:rsid w:val="2EB02F89"/>
    <w:rsid w:val="2EB40706"/>
    <w:rsid w:val="2EB61295"/>
    <w:rsid w:val="2EC414ED"/>
    <w:rsid w:val="2EC71A13"/>
    <w:rsid w:val="2EDC714E"/>
    <w:rsid w:val="2EE52989"/>
    <w:rsid w:val="2EEA307E"/>
    <w:rsid w:val="2EEF6737"/>
    <w:rsid w:val="2EF276DC"/>
    <w:rsid w:val="2EF53C20"/>
    <w:rsid w:val="2EFC5DDD"/>
    <w:rsid w:val="2F002CCF"/>
    <w:rsid w:val="2F0160A3"/>
    <w:rsid w:val="2F18561C"/>
    <w:rsid w:val="2F1A491A"/>
    <w:rsid w:val="2F2960CC"/>
    <w:rsid w:val="2F2F3D52"/>
    <w:rsid w:val="2F380F9E"/>
    <w:rsid w:val="2F3B7B8B"/>
    <w:rsid w:val="2F44254B"/>
    <w:rsid w:val="2F4530B9"/>
    <w:rsid w:val="2F4776D8"/>
    <w:rsid w:val="2F4B7821"/>
    <w:rsid w:val="2F526911"/>
    <w:rsid w:val="2F5741FD"/>
    <w:rsid w:val="2F57587A"/>
    <w:rsid w:val="2F5E1A24"/>
    <w:rsid w:val="2F615954"/>
    <w:rsid w:val="2F6324D7"/>
    <w:rsid w:val="2F712CF7"/>
    <w:rsid w:val="2F805714"/>
    <w:rsid w:val="2F8640C4"/>
    <w:rsid w:val="2F8E5F5C"/>
    <w:rsid w:val="2F921FAC"/>
    <w:rsid w:val="2F93703C"/>
    <w:rsid w:val="2FA21231"/>
    <w:rsid w:val="2FAD4759"/>
    <w:rsid w:val="2FAD5866"/>
    <w:rsid w:val="2FB91323"/>
    <w:rsid w:val="2FCA0967"/>
    <w:rsid w:val="2FD84674"/>
    <w:rsid w:val="2FDB17E1"/>
    <w:rsid w:val="2FE20568"/>
    <w:rsid w:val="2FE37171"/>
    <w:rsid w:val="2FF117AD"/>
    <w:rsid w:val="2FF17999"/>
    <w:rsid w:val="2FF40BAE"/>
    <w:rsid w:val="2FF95633"/>
    <w:rsid w:val="3000318C"/>
    <w:rsid w:val="30010F70"/>
    <w:rsid w:val="300F7F13"/>
    <w:rsid w:val="30151A88"/>
    <w:rsid w:val="301E3C00"/>
    <w:rsid w:val="302757BF"/>
    <w:rsid w:val="302E1CAD"/>
    <w:rsid w:val="302F0C7E"/>
    <w:rsid w:val="30354430"/>
    <w:rsid w:val="303F616B"/>
    <w:rsid w:val="3045713F"/>
    <w:rsid w:val="30486EA7"/>
    <w:rsid w:val="304A4A5C"/>
    <w:rsid w:val="30500A5C"/>
    <w:rsid w:val="30537546"/>
    <w:rsid w:val="30752E77"/>
    <w:rsid w:val="307F25C6"/>
    <w:rsid w:val="308018A6"/>
    <w:rsid w:val="30804E19"/>
    <w:rsid w:val="3090288F"/>
    <w:rsid w:val="309B0CFB"/>
    <w:rsid w:val="309B2EEC"/>
    <w:rsid w:val="309E4272"/>
    <w:rsid w:val="30AE56DC"/>
    <w:rsid w:val="30B7307E"/>
    <w:rsid w:val="30BB5407"/>
    <w:rsid w:val="30BC5512"/>
    <w:rsid w:val="30BF034E"/>
    <w:rsid w:val="30C21A0E"/>
    <w:rsid w:val="30DC45E8"/>
    <w:rsid w:val="30DD6027"/>
    <w:rsid w:val="30DE16AB"/>
    <w:rsid w:val="30E1221A"/>
    <w:rsid w:val="30E734EF"/>
    <w:rsid w:val="30F24AB3"/>
    <w:rsid w:val="30F44A95"/>
    <w:rsid w:val="30F77A98"/>
    <w:rsid w:val="30FA21D8"/>
    <w:rsid w:val="30FC2A23"/>
    <w:rsid w:val="310F0AEF"/>
    <w:rsid w:val="31197ABC"/>
    <w:rsid w:val="311D5B14"/>
    <w:rsid w:val="312D1F98"/>
    <w:rsid w:val="313A7B85"/>
    <w:rsid w:val="313E22A6"/>
    <w:rsid w:val="31412F85"/>
    <w:rsid w:val="31454E97"/>
    <w:rsid w:val="314A019C"/>
    <w:rsid w:val="314E27D6"/>
    <w:rsid w:val="314E64EA"/>
    <w:rsid w:val="31514FC5"/>
    <w:rsid w:val="31584385"/>
    <w:rsid w:val="315D7DEC"/>
    <w:rsid w:val="31624EDC"/>
    <w:rsid w:val="31647576"/>
    <w:rsid w:val="31665E5D"/>
    <w:rsid w:val="31672771"/>
    <w:rsid w:val="316B0F75"/>
    <w:rsid w:val="316D6950"/>
    <w:rsid w:val="31712ADE"/>
    <w:rsid w:val="3171328C"/>
    <w:rsid w:val="317477EC"/>
    <w:rsid w:val="317A322A"/>
    <w:rsid w:val="317A7B84"/>
    <w:rsid w:val="31822EAF"/>
    <w:rsid w:val="31840D12"/>
    <w:rsid w:val="31846FF6"/>
    <w:rsid w:val="319268E9"/>
    <w:rsid w:val="319B3834"/>
    <w:rsid w:val="319D6381"/>
    <w:rsid w:val="31A53A0B"/>
    <w:rsid w:val="31A7307B"/>
    <w:rsid w:val="31A94576"/>
    <w:rsid w:val="31AC2EA3"/>
    <w:rsid w:val="31B23BA8"/>
    <w:rsid w:val="31C363A1"/>
    <w:rsid w:val="31CA5CF8"/>
    <w:rsid w:val="31CB26CD"/>
    <w:rsid w:val="31D06A52"/>
    <w:rsid w:val="31E302B9"/>
    <w:rsid w:val="31F20023"/>
    <w:rsid w:val="31F536F7"/>
    <w:rsid w:val="31FA7AEE"/>
    <w:rsid w:val="31FB60C5"/>
    <w:rsid w:val="3209100C"/>
    <w:rsid w:val="320F1C35"/>
    <w:rsid w:val="32163C54"/>
    <w:rsid w:val="321E250B"/>
    <w:rsid w:val="32226597"/>
    <w:rsid w:val="322A5516"/>
    <w:rsid w:val="322C6DC4"/>
    <w:rsid w:val="3238698E"/>
    <w:rsid w:val="324968A9"/>
    <w:rsid w:val="324C11A1"/>
    <w:rsid w:val="324F1DD8"/>
    <w:rsid w:val="32544043"/>
    <w:rsid w:val="3259293C"/>
    <w:rsid w:val="325E5514"/>
    <w:rsid w:val="32637AAD"/>
    <w:rsid w:val="32666821"/>
    <w:rsid w:val="326718A4"/>
    <w:rsid w:val="32694229"/>
    <w:rsid w:val="326A18B1"/>
    <w:rsid w:val="326B7BBB"/>
    <w:rsid w:val="3272101B"/>
    <w:rsid w:val="32722131"/>
    <w:rsid w:val="327A3DD6"/>
    <w:rsid w:val="327E6AD8"/>
    <w:rsid w:val="32946A84"/>
    <w:rsid w:val="32B22C9D"/>
    <w:rsid w:val="32BC6631"/>
    <w:rsid w:val="32C05B65"/>
    <w:rsid w:val="32C352F9"/>
    <w:rsid w:val="32C6418D"/>
    <w:rsid w:val="32D14A7F"/>
    <w:rsid w:val="32D26AE6"/>
    <w:rsid w:val="32D63E6C"/>
    <w:rsid w:val="32D733FA"/>
    <w:rsid w:val="32DE353D"/>
    <w:rsid w:val="32E148E8"/>
    <w:rsid w:val="32E343F6"/>
    <w:rsid w:val="32E921F0"/>
    <w:rsid w:val="32EA2767"/>
    <w:rsid w:val="32F76D5D"/>
    <w:rsid w:val="32F86450"/>
    <w:rsid w:val="32F9203E"/>
    <w:rsid w:val="330244A4"/>
    <w:rsid w:val="330872E8"/>
    <w:rsid w:val="330A7F19"/>
    <w:rsid w:val="330F1E44"/>
    <w:rsid w:val="33114D09"/>
    <w:rsid w:val="331747E7"/>
    <w:rsid w:val="331B37C6"/>
    <w:rsid w:val="331C390F"/>
    <w:rsid w:val="3327353E"/>
    <w:rsid w:val="333A0536"/>
    <w:rsid w:val="333E0FE1"/>
    <w:rsid w:val="334D7767"/>
    <w:rsid w:val="33610DDA"/>
    <w:rsid w:val="3362171F"/>
    <w:rsid w:val="3366319E"/>
    <w:rsid w:val="336C2B69"/>
    <w:rsid w:val="33767D1F"/>
    <w:rsid w:val="337B405E"/>
    <w:rsid w:val="337B72EE"/>
    <w:rsid w:val="337F446B"/>
    <w:rsid w:val="338E29B0"/>
    <w:rsid w:val="33924A39"/>
    <w:rsid w:val="339902E6"/>
    <w:rsid w:val="339D35FC"/>
    <w:rsid w:val="33A156DE"/>
    <w:rsid w:val="33B52233"/>
    <w:rsid w:val="33B70359"/>
    <w:rsid w:val="33BA1B32"/>
    <w:rsid w:val="33CB205A"/>
    <w:rsid w:val="33D451B9"/>
    <w:rsid w:val="33D90BAC"/>
    <w:rsid w:val="33DE29BC"/>
    <w:rsid w:val="33E20DF0"/>
    <w:rsid w:val="33E570DD"/>
    <w:rsid w:val="33ED104F"/>
    <w:rsid w:val="33EE5E44"/>
    <w:rsid w:val="33F246C5"/>
    <w:rsid w:val="33F81D16"/>
    <w:rsid w:val="33FA2099"/>
    <w:rsid w:val="33FE4E44"/>
    <w:rsid w:val="34004C51"/>
    <w:rsid w:val="34087429"/>
    <w:rsid w:val="340B5F03"/>
    <w:rsid w:val="3411600B"/>
    <w:rsid w:val="341315B5"/>
    <w:rsid w:val="34147AA7"/>
    <w:rsid w:val="341808C3"/>
    <w:rsid w:val="34182B66"/>
    <w:rsid w:val="34260D3D"/>
    <w:rsid w:val="342D3CE2"/>
    <w:rsid w:val="34312A2C"/>
    <w:rsid w:val="34343D6C"/>
    <w:rsid w:val="34347DC5"/>
    <w:rsid w:val="34380493"/>
    <w:rsid w:val="34463967"/>
    <w:rsid w:val="344C08D2"/>
    <w:rsid w:val="344D0957"/>
    <w:rsid w:val="345543D1"/>
    <w:rsid w:val="34594FC6"/>
    <w:rsid w:val="345A7367"/>
    <w:rsid w:val="345D2CD0"/>
    <w:rsid w:val="346C0AEA"/>
    <w:rsid w:val="3473748E"/>
    <w:rsid w:val="347F540F"/>
    <w:rsid w:val="34863322"/>
    <w:rsid w:val="34885DB3"/>
    <w:rsid w:val="348F62A5"/>
    <w:rsid w:val="348F7A0E"/>
    <w:rsid w:val="349A0B7D"/>
    <w:rsid w:val="34A851E8"/>
    <w:rsid w:val="34B51A96"/>
    <w:rsid w:val="34C800BD"/>
    <w:rsid w:val="34CC1DC7"/>
    <w:rsid w:val="34D47C8A"/>
    <w:rsid w:val="34D560CD"/>
    <w:rsid w:val="34D874E5"/>
    <w:rsid w:val="34DB0CAC"/>
    <w:rsid w:val="34DD3DF9"/>
    <w:rsid w:val="34E82590"/>
    <w:rsid w:val="34E972FC"/>
    <w:rsid w:val="34F83EF3"/>
    <w:rsid w:val="34F953E0"/>
    <w:rsid w:val="34FF2166"/>
    <w:rsid w:val="350B69C5"/>
    <w:rsid w:val="351C075B"/>
    <w:rsid w:val="35233F18"/>
    <w:rsid w:val="3524348B"/>
    <w:rsid w:val="35295D65"/>
    <w:rsid w:val="352B5169"/>
    <w:rsid w:val="35333FF2"/>
    <w:rsid w:val="353C4905"/>
    <w:rsid w:val="353C75ED"/>
    <w:rsid w:val="353E791E"/>
    <w:rsid w:val="354008AB"/>
    <w:rsid w:val="354966A2"/>
    <w:rsid w:val="354C7B38"/>
    <w:rsid w:val="354F28B8"/>
    <w:rsid w:val="35535CBB"/>
    <w:rsid w:val="35562F9E"/>
    <w:rsid w:val="35581BA8"/>
    <w:rsid w:val="355B0205"/>
    <w:rsid w:val="355B280E"/>
    <w:rsid w:val="355B3BD4"/>
    <w:rsid w:val="355D687A"/>
    <w:rsid w:val="356161F3"/>
    <w:rsid w:val="35691707"/>
    <w:rsid w:val="35744059"/>
    <w:rsid w:val="35771AC2"/>
    <w:rsid w:val="357960B4"/>
    <w:rsid w:val="3579692E"/>
    <w:rsid w:val="358618B0"/>
    <w:rsid w:val="3589285D"/>
    <w:rsid w:val="359C1F6C"/>
    <w:rsid w:val="35A0338E"/>
    <w:rsid w:val="35A16611"/>
    <w:rsid w:val="35A31A0A"/>
    <w:rsid w:val="35AB5D7D"/>
    <w:rsid w:val="35B31B82"/>
    <w:rsid w:val="35B94AF5"/>
    <w:rsid w:val="35BB3B8F"/>
    <w:rsid w:val="35C154C0"/>
    <w:rsid w:val="35C53118"/>
    <w:rsid w:val="35C7584B"/>
    <w:rsid w:val="35CE7064"/>
    <w:rsid w:val="35D31DE1"/>
    <w:rsid w:val="35D3590B"/>
    <w:rsid w:val="35D801CA"/>
    <w:rsid w:val="35DD2AEE"/>
    <w:rsid w:val="35E32899"/>
    <w:rsid w:val="35EA6509"/>
    <w:rsid w:val="35ED04DC"/>
    <w:rsid w:val="35F44E5C"/>
    <w:rsid w:val="35F45994"/>
    <w:rsid w:val="3602050E"/>
    <w:rsid w:val="36063751"/>
    <w:rsid w:val="360E4CD5"/>
    <w:rsid w:val="36101A49"/>
    <w:rsid w:val="36163688"/>
    <w:rsid w:val="361A2F27"/>
    <w:rsid w:val="36265F04"/>
    <w:rsid w:val="36266913"/>
    <w:rsid w:val="36297754"/>
    <w:rsid w:val="362F4F9E"/>
    <w:rsid w:val="363210F7"/>
    <w:rsid w:val="363B277C"/>
    <w:rsid w:val="363F4D43"/>
    <w:rsid w:val="3640112F"/>
    <w:rsid w:val="36407BF2"/>
    <w:rsid w:val="36417456"/>
    <w:rsid w:val="36486576"/>
    <w:rsid w:val="364B2312"/>
    <w:rsid w:val="365955CF"/>
    <w:rsid w:val="365F765A"/>
    <w:rsid w:val="36603917"/>
    <w:rsid w:val="36627C0A"/>
    <w:rsid w:val="36693B36"/>
    <w:rsid w:val="366B0AAA"/>
    <w:rsid w:val="366B6257"/>
    <w:rsid w:val="366D49A8"/>
    <w:rsid w:val="36752210"/>
    <w:rsid w:val="36820E97"/>
    <w:rsid w:val="36884498"/>
    <w:rsid w:val="36922B55"/>
    <w:rsid w:val="36991125"/>
    <w:rsid w:val="36A312B2"/>
    <w:rsid w:val="36A433D6"/>
    <w:rsid w:val="36A9265A"/>
    <w:rsid w:val="36B121C7"/>
    <w:rsid w:val="36B2486C"/>
    <w:rsid w:val="36B307B1"/>
    <w:rsid w:val="36BA14F4"/>
    <w:rsid w:val="36C80C9E"/>
    <w:rsid w:val="36D009E5"/>
    <w:rsid w:val="36D27C18"/>
    <w:rsid w:val="36D512A9"/>
    <w:rsid w:val="36D934D3"/>
    <w:rsid w:val="36D94280"/>
    <w:rsid w:val="36DE2053"/>
    <w:rsid w:val="36E07ED3"/>
    <w:rsid w:val="36F14133"/>
    <w:rsid w:val="36F273FC"/>
    <w:rsid w:val="36F414F3"/>
    <w:rsid w:val="37002C93"/>
    <w:rsid w:val="37030CD6"/>
    <w:rsid w:val="370974B4"/>
    <w:rsid w:val="37180914"/>
    <w:rsid w:val="371A5A8E"/>
    <w:rsid w:val="371B03AE"/>
    <w:rsid w:val="371B5E13"/>
    <w:rsid w:val="371E6151"/>
    <w:rsid w:val="37277663"/>
    <w:rsid w:val="372A07F2"/>
    <w:rsid w:val="37357964"/>
    <w:rsid w:val="37397E09"/>
    <w:rsid w:val="373D6F58"/>
    <w:rsid w:val="373F7FE8"/>
    <w:rsid w:val="37446333"/>
    <w:rsid w:val="37446A77"/>
    <w:rsid w:val="374D0B20"/>
    <w:rsid w:val="37557969"/>
    <w:rsid w:val="375D4473"/>
    <w:rsid w:val="37615F3C"/>
    <w:rsid w:val="37616CE8"/>
    <w:rsid w:val="376B106B"/>
    <w:rsid w:val="377963D6"/>
    <w:rsid w:val="37840F0B"/>
    <w:rsid w:val="37865C24"/>
    <w:rsid w:val="378772DD"/>
    <w:rsid w:val="378A731A"/>
    <w:rsid w:val="378D7467"/>
    <w:rsid w:val="378E3617"/>
    <w:rsid w:val="37931A90"/>
    <w:rsid w:val="379B751D"/>
    <w:rsid w:val="37A4082B"/>
    <w:rsid w:val="37A4627C"/>
    <w:rsid w:val="37A530D5"/>
    <w:rsid w:val="37A643C8"/>
    <w:rsid w:val="37AE534B"/>
    <w:rsid w:val="37B1214B"/>
    <w:rsid w:val="37B2262C"/>
    <w:rsid w:val="37B336FE"/>
    <w:rsid w:val="37B5292C"/>
    <w:rsid w:val="37BA6351"/>
    <w:rsid w:val="37C93B72"/>
    <w:rsid w:val="37D644F2"/>
    <w:rsid w:val="37E22653"/>
    <w:rsid w:val="37E96E96"/>
    <w:rsid w:val="37ED5E3A"/>
    <w:rsid w:val="37EF1B98"/>
    <w:rsid w:val="37F311D3"/>
    <w:rsid w:val="37F7242F"/>
    <w:rsid w:val="37FD1EC6"/>
    <w:rsid w:val="380579FE"/>
    <w:rsid w:val="380661F9"/>
    <w:rsid w:val="380A2EB4"/>
    <w:rsid w:val="38157509"/>
    <w:rsid w:val="381C2F7D"/>
    <w:rsid w:val="381D5340"/>
    <w:rsid w:val="382150C9"/>
    <w:rsid w:val="382372FE"/>
    <w:rsid w:val="38284CDE"/>
    <w:rsid w:val="382D297A"/>
    <w:rsid w:val="382F19E6"/>
    <w:rsid w:val="383B2EED"/>
    <w:rsid w:val="384C2D57"/>
    <w:rsid w:val="38557E21"/>
    <w:rsid w:val="3856501D"/>
    <w:rsid w:val="38590DD6"/>
    <w:rsid w:val="385F47DB"/>
    <w:rsid w:val="38693A96"/>
    <w:rsid w:val="38696F12"/>
    <w:rsid w:val="386A1921"/>
    <w:rsid w:val="386B38FB"/>
    <w:rsid w:val="38775820"/>
    <w:rsid w:val="387F0A30"/>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8F64753"/>
    <w:rsid w:val="39065A02"/>
    <w:rsid w:val="39105718"/>
    <w:rsid w:val="391435BB"/>
    <w:rsid w:val="39164B6E"/>
    <w:rsid w:val="392A16AB"/>
    <w:rsid w:val="392B6A4C"/>
    <w:rsid w:val="393544DD"/>
    <w:rsid w:val="393962EC"/>
    <w:rsid w:val="393F6CD7"/>
    <w:rsid w:val="39457868"/>
    <w:rsid w:val="394935B8"/>
    <w:rsid w:val="394C557A"/>
    <w:rsid w:val="3952190F"/>
    <w:rsid w:val="39573D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02BA8"/>
    <w:rsid w:val="39E57C1D"/>
    <w:rsid w:val="39E70CEA"/>
    <w:rsid w:val="39E9070B"/>
    <w:rsid w:val="39EC7454"/>
    <w:rsid w:val="39FD2FB3"/>
    <w:rsid w:val="3A026596"/>
    <w:rsid w:val="3A082ABE"/>
    <w:rsid w:val="3A0E766B"/>
    <w:rsid w:val="3A181AC2"/>
    <w:rsid w:val="3A1A155D"/>
    <w:rsid w:val="3A237175"/>
    <w:rsid w:val="3A3D09BE"/>
    <w:rsid w:val="3A443D4B"/>
    <w:rsid w:val="3A4B68EC"/>
    <w:rsid w:val="3A5A33D2"/>
    <w:rsid w:val="3A5C5147"/>
    <w:rsid w:val="3A616CAD"/>
    <w:rsid w:val="3A6E3AE6"/>
    <w:rsid w:val="3A711C68"/>
    <w:rsid w:val="3A7927E8"/>
    <w:rsid w:val="3A796E46"/>
    <w:rsid w:val="3A8B3C77"/>
    <w:rsid w:val="3A8F5373"/>
    <w:rsid w:val="3A971F5B"/>
    <w:rsid w:val="3A9A224E"/>
    <w:rsid w:val="3A9C1F8C"/>
    <w:rsid w:val="3A9D2551"/>
    <w:rsid w:val="3AA14E37"/>
    <w:rsid w:val="3AA15A8E"/>
    <w:rsid w:val="3AA35A0C"/>
    <w:rsid w:val="3AA90278"/>
    <w:rsid w:val="3AA97F70"/>
    <w:rsid w:val="3AAC45FD"/>
    <w:rsid w:val="3AB2580E"/>
    <w:rsid w:val="3AB26A14"/>
    <w:rsid w:val="3AB94248"/>
    <w:rsid w:val="3ABE76C3"/>
    <w:rsid w:val="3ABF42F5"/>
    <w:rsid w:val="3ACE7D16"/>
    <w:rsid w:val="3AD73D23"/>
    <w:rsid w:val="3AEE596A"/>
    <w:rsid w:val="3AF372E4"/>
    <w:rsid w:val="3AF932C9"/>
    <w:rsid w:val="3AFD37D0"/>
    <w:rsid w:val="3B016EE9"/>
    <w:rsid w:val="3B075C4E"/>
    <w:rsid w:val="3B0C7A7D"/>
    <w:rsid w:val="3B0D67FF"/>
    <w:rsid w:val="3B0E6B93"/>
    <w:rsid w:val="3B130528"/>
    <w:rsid w:val="3B1703B9"/>
    <w:rsid w:val="3B1B0093"/>
    <w:rsid w:val="3B1C2133"/>
    <w:rsid w:val="3B1F791D"/>
    <w:rsid w:val="3B2356A8"/>
    <w:rsid w:val="3B2908B6"/>
    <w:rsid w:val="3B2A1EDE"/>
    <w:rsid w:val="3B2D161A"/>
    <w:rsid w:val="3B3A132E"/>
    <w:rsid w:val="3B456D7F"/>
    <w:rsid w:val="3B5E261D"/>
    <w:rsid w:val="3B5F14B4"/>
    <w:rsid w:val="3B616FBE"/>
    <w:rsid w:val="3B683A4D"/>
    <w:rsid w:val="3B6A3CF4"/>
    <w:rsid w:val="3B6D5AE8"/>
    <w:rsid w:val="3B6F5B73"/>
    <w:rsid w:val="3B70725E"/>
    <w:rsid w:val="3B7236B3"/>
    <w:rsid w:val="3B7B1D0B"/>
    <w:rsid w:val="3B833960"/>
    <w:rsid w:val="3B850B78"/>
    <w:rsid w:val="3B86470F"/>
    <w:rsid w:val="3B873119"/>
    <w:rsid w:val="3B9C2663"/>
    <w:rsid w:val="3B9C285E"/>
    <w:rsid w:val="3BA17E84"/>
    <w:rsid w:val="3BA35FC1"/>
    <w:rsid w:val="3BA566FD"/>
    <w:rsid w:val="3BA7008A"/>
    <w:rsid w:val="3BB47D9F"/>
    <w:rsid w:val="3BB5659F"/>
    <w:rsid w:val="3BB63BD2"/>
    <w:rsid w:val="3BD039A1"/>
    <w:rsid w:val="3BD73DBC"/>
    <w:rsid w:val="3BDE5F43"/>
    <w:rsid w:val="3BE745F7"/>
    <w:rsid w:val="3BE86E03"/>
    <w:rsid w:val="3BF10AAD"/>
    <w:rsid w:val="3BF13FB8"/>
    <w:rsid w:val="3BFA10FC"/>
    <w:rsid w:val="3C032713"/>
    <w:rsid w:val="3C042946"/>
    <w:rsid w:val="3C070D59"/>
    <w:rsid w:val="3C074961"/>
    <w:rsid w:val="3C0C6B1F"/>
    <w:rsid w:val="3C0E09BE"/>
    <w:rsid w:val="3C0F1954"/>
    <w:rsid w:val="3C1071B6"/>
    <w:rsid w:val="3C18685F"/>
    <w:rsid w:val="3C1E1E84"/>
    <w:rsid w:val="3C1E391D"/>
    <w:rsid w:val="3C21000D"/>
    <w:rsid w:val="3C237821"/>
    <w:rsid w:val="3C294498"/>
    <w:rsid w:val="3C2A1C6F"/>
    <w:rsid w:val="3C2D5003"/>
    <w:rsid w:val="3C333216"/>
    <w:rsid w:val="3C36018F"/>
    <w:rsid w:val="3C3615E1"/>
    <w:rsid w:val="3C3B0B4B"/>
    <w:rsid w:val="3C3C3ACF"/>
    <w:rsid w:val="3C3D016E"/>
    <w:rsid w:val="3C43710C"/>
    <w:rsid w:val="3C4864AA"/>
    <w:rsid w:val="3C49796D"/>
    <w:rsid w:val="3C4F7D80"/>
    <w:rsid w:val="3C61601B"/>
    <w:rsid w:val="3C64689F"/>
    <w:rsid w:val="3C6E7D4D"/>
    <w:rsid w:val="3C740DAA"/>
    <w:rsid w:val="3C750E34"/>
    <w:rsid w:val="3C7A46D0"/>
    <w:rsid w:val="3C7E65EC"/>
    <w:rsid w:val="3C812838"/>
    <w:rsid w:val="3C8555A2"/>
    <w:rsid w:val="3C867450"/>
    <w:rsid w:val="3C9E64A0"/>
    <w:rsid w:val="3CA36BCF"/>
    <w:rsid w:val="3CA41337"/>
    <w:rsid w:val="3CA95FB0"/>
    <w:rsid w:val="3CAA38C3"/>
    <w:rsid w:val="3CAA5481"/>
    <w:rsid w:val="3CAC1109"/>
    <w:rsid w:val="3CB338D6"/>
    <w:rsid w:val="3CB36CF4"/>
    <w:rsid w:val="3CBA5754"/>
    <w:rsid w:val="3CBA78F5"/>
    <w:rsid w:val="3CBD5A0F"/>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B7E6F"/>
    <w:rsid w:val="3D0F1231"/>
    <w:rsid w:val="3D163A6F"/>
    <w:rsid w:val="3D184661"/>
    <w:rsid w:val="3D200D7C"/>
    <w:rsid w:val="3D233D0C"/>
    <w:rsid w:val="3D272F24"/>
    <w:rsid w:val="3D2814B2"/>
    <w:rsid w:val="3D3662C4"/>
    <w:rsid w:val="3D465BDF"/>
    <w:rsid w:val="3D47670E"/>
    <w:rsid w:val="3D4A3942"/>
    <w:rsid w:val="3D4D7CF8"/>
    <w:rsid w:val="3D58163A"/>
    <w:rsid w:val="3D5A05E2"/>
    <w:rsid w:val="3D5C63D4"/>
    <w:rsid w:val="3D5E50E6"/>
    <w:rsid w:val="3D5F6029"/>
    <w:rsid w:val="3D611CC7"/>
    <w:rsid w:val="3D6223C0"/>
    <w:rsid w:val="3D641D7A"/>
    <w:rsid w:val="3D6842F6"/>
    <w:rsid w:val="3D7500BF"/>
    <w:rsid w:val="3D7618FA"/>
    <w:rsid w:val="3D766E42"/>
    <w:rsid w:val="3D791797"/>
    <w:rsid w:val="3D807BCD"/>
    <w:rsid w:val="3D82057E"/>
    <w:rsid w:val="3D832B00"/>
    <w:rsid w:val="3D8522AA"/>
    <w:rsid w:val="3D8A0C19"/>
    <w:rsid w:val="3D9816B4"/>
    <w:rsid w:val="3D990197"/>
    <w:rsid w:val="3D9A0655"/>
    <w:rsid w:val="3DA22306"/>
    <w:rsid w:val="3DA96644"/>
    <w:rsid w:val="3DB17297"/>
    <w:rsid w:val="3DBB6C89"/>
    <w:rsid w:val="3DCD6921"/>
    <w:rsid w:val="3DD67156"/>
    <w:rsid w:val="3DD745F2"/>
    <w:rsid w:val="3DE37514"/>
    <w:rsid w:val="3DE548AC"/>
    <w:rsid w:val="3DE653F8"/>
    <w:rsid w:val="3DE72673"/>
    <w:rsid w:val="3DEB1255"/>
    <w:rsid w:val="3DEE1FBE"/>
    <w:rsid w:val="3DF96BD2"/>
    <w:rsid w:val="3E010064"/>
    <w:rsid w:val="3E0448CB"/>
    <w:rsid w:val="3E073B6A"/>
    <w:rsid w:val="3E0918A5"/>
    <w:rsid w:val="3E0F25EA"/>
    <w:rsid w:val="3E146F59"/>
    <w:rsid w:val="3E197897"/>
    <w:rsid w:val="3E22755F"/>
    <w:rsid w:val="3E237BCC"/>
    <w:rsid w:val="3E255AC9"/>
    <w:rsid w:val="3E3419DC"/>
    <w:rsid w:val="3E3C5F3C"/>
    <w:rsid w:val="3E3E306A"/>
    <w:rsid w:val="3E3F3EC9"/>
    <w:rsid w:val="3E454B0D"/>
    <w:rsid w:val="3E463CA5"/>
    <w:rsid w:val="3E4B2DC3"/>
    <w:rsid w:val="3E52303B"/>
    <w:rsid w:val="3E583BB7"/>
    <w:rsid w:val="3E5A1D01"/>
    <w:rsid w:val="3E5B12DC"/>
    <w:rsid w:val="3E623E46"/>
    <w:rsid w:val="3E63159D"/>
    <w:rsid w:val="3E667FB0"/>
    <w:rsid w:val="3E671BE7"/>
    <w:rsid w:val="3E680BF1"/>
    <w:rsid w:val="3E6F28D4"/>
    <w:rsid w:val="3E780453"/>
    <w:rsid w:val="3E7A1C88"/>
    <w:rsid w:val="3E844725"/>
    <w:rsid w:val="3E8B095A"/>
    <w:rsid w:val="3E8D66A1"/>
    <w:rsid w:val="3E8E6C82"/>
    <w:rsid w:val="3E942719"/>
    <w:rsid w:val="3E943FDD"/>
    <w:rsid w:val="3E9A19C5"/>
    <w:rsid w:val="3E9A27AB"/>
    <w:rsid w:val="3E9A7C4E"/>
    <w:rsid w:val="3E9D2B84"/>
    <w:rsid w:val="3E9E1F00"/>
    <w:rsid w:val="3E9E3078"/>
    <w:rsid w:val="3EA361EA"/>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16D44"/>
    <w:rsid w:val="3EF36AD8"/>
    <w:rsid w:val="3EF535E4"/>
    <w:rsid w:val="3EF57240"/>
    <w:rsid w:val="3EF62480"/>
    <w:rsid w:val="3EFB57DC"/>
    <w:rsid w:val="3F0572F1"/>
    <w:rsid w:val="3F144192"/>
    <w:rsid w:val="3F180191"/>
    <w:rsid w:val="3F1871AF"/>
    <w:rsid w:val="3F217DDA"/>
    <w:rsid w:val="3F2B184D"/>
    <w:rsid w:val="3F2C7646"/>
    <w:rsid w:val="3F2F01F0"/>
    <w:rsid w:val="3F3C6744"/>
    <w:rsid w:val="3F421D47"/>
    <w:rsid w:val="3F441B08"/>
    <w:rsid w:val="3F4A4087"/>
    <w:rsid w:val="3F5361F5"/>
    <w:rsid w:val="3F556D23"/>
    <w:rsid w:val="3F5B09D7"/>
    <w:rsid w:val="3F5D051B"/>
    <w:rsid w:val="3F630E3A"/>
    <w:rsid w:val="3F6B3632"/>
    <w:rsid w:val="3F776E0A"/>
    <w:rsid w:val="3F7F6043"/>
    <w:rsid w:val="3F952814"/>
    <w:rsid w:val="3F9C0821"/>
    <w:rsid w:val="3FA41C63"/>
    <w:rsid w:val="3FAB100B"/>
    <w:rsid w:val="3FAB3D87"/>
    <w:rsid w:val="3FAB41A2"/>
    <w:rsid w:val="3FAE47F6"/>
    <w:rsid w:val="3FB03D8B"/>
    <w:rsid w:val="3FB77F5A"/>
    <w:rsid w:val="3FD53CFE"/>
    <w:rsid w:val="3FD9316A"/>
    <w:rsid w:val="3FDA3A66"/>
    <w:rsid w:val="3FE210C1"/>
    <w:rsid w:val="3FEB1C22"/>
    <w:rsid w:val="3FEE2117"/>
    <w:rsid w:val="3FFA58A6"/>
    <w:rsid w:val="3FFA5C63"/>
    <w:rsid w:val="40073561"/>
    <w:rsid w:val="400A1CFC"/>
    <w:rsid w:val="4014369D"/>
    <w:rsid w:val="401D6DEE"/>
    <w:rsid w:val="40205563"/>
    <w:rsid w:val="402079EB"/>
    <w:rsid w:val="40294AA1"/>
    <w:rsid w:val="40372C35"/>
    <w:rsid w:val="403870E4"/>
    <w:rsid w:val="403D7C5C"/>
    <w:rsid w:val="40400533"/>
    <w:rsid w:val="4049754C"/>
    <w:rsid w:val="404B2521"/>
    <w:rsid w:val="404F7DEB"/>
    <w:rsid w:val="40572DA6"/>
    <w:rsid w:val="405A424E"/>
    <w:rsid w:val="406D461C"/>
    <w:rsid w:val="406F7D87"/>
    <w:rsid w:val="407A5C67"/>
    <w:rsid w:val="40825FDB"/>
    <w:rsid w:val="40836EAD"/>
    <w:rsid w:val="408B66D4"/>
    <w:rsid w:val="40907287"/>
    <w:rsid w:val="409238F2"/>
    <w:rsid w:val="40953EC0"/>
    <w:rsid w:val="409D027A"/>
    <w:rsid w:val="40AB3054"/>
    <w:rsid w:val="40AF2B72"/>
    <w:rsid w:val="40BD153A"/>
    <w:rsid w:val="40C3250A"/>
    <w:rsid w:val="40CD7BD8"/>
    <w:rsid w:val="40CE24AF"/>
    <w:rsid w:val="40D07371"/>
    <w:rsid w:val="40D72999"/>
    <w:rsid w:val="40DF3ABC"/>
    <w:rsid w:val="40E75AF0"/>
    <w:rsid w:val="40E87142"/>
    <w:rsid w:val="40F00A85"/>
    <w:rsid w:val="40F1013C"/>
    <w:rsid w:val="40F35427"/>
    <w:rsid w:val="40FE1447"/>
    <w:rsid w:val="41053DED"/>
    <w:rsid w:val="410623D3"/>
    <w:rsid w:val="41074BCF"/>
    <w:rsid w:val="412506DF"/>
    <w:rsid w:val="413B1BAB"/>
    <w:rsid w:val="413C1F4C"/>
    <w:rsid w:val="41434504"/>
    <w:rsid w:val="4149456B"/>
    <w:rsid w:val="414C1126"/>
    <w:rsid w:val="414F41D7"/>
    <w:rsid w:val="414F7876"/>
    <w:rsid w:val="41515CEC"/>
    <w:rsid w:val="41546D5F"/>
    <w:rsid w:val="415A0FEF"/>
    <w:rsid w:val="416279BA"/>
    <w:rsid w:val="41653B51"/>
    <w:rsid w:val="416C15E7"/>
    <w:rsid w:val="416E039C"/>
    <w:rsid w:val="416E1B43"/>
    <w:rsid w:val="41713BA5"/>
    <w:rsid w:val="417727AB"/>
    <w:rsid w:val="417F7393"/>
    <w:rsid w:val="41800377"/>
    <w:rsid w:val="41804025"/>
    <w:rsid w:val="418B26ED"/>
    <w:rsid w:val="418C046F"/>
    <w:rsid w:val="41931531"/>
    <w:rsid w:val="41986119"/>
    <w:rsid w:val="419B3B43"/>
    <w:rsid w:val="41A63744"/>
    <w:rsid w:val="41A64028"/>
    <w:rsid w:val="41AC6BA3"/>
    <w:rsid w:val="41AD5F07"/>
    <w:rsid w:val="41B23ED2"/>
    <w:rsid w:val="41B6268F"/>
    <w:rsid w:val="41B730A3"/>
    <w:rsid w:val="41B737E0"/>
    <w:rsid w:val="41B77B6D"/>
    <w:rsid w:val="41C20F3F"/>
    <w:rsid w:val="41D1580B"/>
    <w:rsid w:val="41D57639"/>
    <w:rsid w:val="41DC5EDF"/>
    <w:rsid w:val="41DD05DE"/>
    <w:rsid w:val="41E4117E"/>
    <w:rsid w:val="41E41803"/>
    <w:rsid w:val="41F04C42"/>
    <w:rsid w:val="41F07014"/>
    <w:rsid w:val="41F24303"/>
    <w:rsid w:val="41F52080"/>
    <w:rsid w:val="41F94D40"/>
    <w:rsid w:val="42001B5D"/>
    <w:rsid w:val="420850A2"/>
    <w:rsid w:val="421B1059"/>
    <w:rsid w:val="422370F9"/>
    <w:rsid w:val="42294221"/>
    <w:rsid w:val="422C32BD"/>
    <w:rsid w:val="422E207E"/>
    <w:rsid w:val="423038F8"/>
    <w:rsid w:val="424255E1"/>
    <w:rsid w:val="424A277B"/>
    <w:rsid w:val="424C388F"/>
    <w:rsid w:val="424C701C"/>
    <w:rsid w:val="42552CD5"/>
    <w:rsid w:val="42571AE1"/>
    <w:rsid w:val="42637522"/>
    <w:rsid w:val="42697E79"/>
    <w:rsid w:val="427034C5"/>
    <w:rsid w:val="42710704"/>
    <w:rsid w:val="42730E0D"/>
    <w:rsid w:val="427409B9"/>
    <w:rsid w:val="42831021"/>
    <w:rsid w:val="42863926"/>
    <w:rsid w:val="4287026E"/>
    <w:rsid w:val="42873CB7"/>
    <w:rsid w:val="429110B8"/>
    <w:rsid w:val="4295760D"/>
    <w:rsid w:val="429A29B1"/>
    <w:rsid w:val="429C1606"/>
    <w:rsid w:val="42A2727E"/>
    <w:rsid w:val="42A87389"/>
    <w:rsid w:val="42B63D6B"/>
    <w:rsid w:val="42B64FC3"/>
    <w:rsid w:val="42BA4341"/>
    <w:rsid w:val="42C449AF"/>
    <w:rsid w:val="42C5796D"/>
    <w:rsid w:val="42D67001"/>
    <w:rsid w:val="42E06A10"/>
    <w:rsid w:val="42E72413"/>
    <w:rsid w:val="42F875D5"/>
    <w:rsid w:val="430A5FFD"/>
    <w:rsid w:val="43112BE5"/>
    <w:rsid w:val="43120C73"/>
    <w:rsid w:val="431B56C6"/>
    <w:rsid w:val="431C7B04"/>
    <w:rsid w:val="432466AA"/>
    <w:rsid w:val="432E5E21"/>
    <w:rsid w:val="4334749B"/>
    <w:rsid w:val="43347575"/>
    <w:rsid w:val="433C41B8"/>
    <w:rsid w:val="433D2335"/>
    <w:rsid w:val="433F57C3"/>
    <w:rsid w:val="43426A44"/>
    <w:rsid w:val="434660C5"/>
    <w:rsid w:val="43605DCC"/>
    <w:rsid w:val="43614CEE"/>
    <w:rsid w:val="4362104C"/>
    <w:rsid w:val="43621947"/>
    <w:rsid w:val="4363090C"/>
    <w:rsid w:val="43664819"/>
    <w:rsid w:val="436A2192"/>
    <w:rsid w:val="436C40C2"/>
    <w:rsid w:val="438B6310"/>
    <w:rsid w:val="439322F0"/>
    <w:rsid w:val="43964600"/>
    <w:rsid w:val="4397231A"/>
    <w:rsid w:val="439C3431"/>
    <w:rsid w:val="439D0E7C"/>
    <w:rsid w:val="43A26A83"/>
    <w:rsid w:val="43A41643"/>
    <w:rsid w:val="43C0281C"/>
    <w:rsid w:val="43C02B26"/>
    <w:rsid w:val="43D10A40"/>
    <w:rsid w:val="43D67A91"/>
    <w:rsid w:val="43E21F58"/>
    <w:rsid w:val="43E35EF0"/>
    <w:rsid w:val="43EB5E76"/>
    <w:rsid w:val="43F76F69"/>
    <w:rsid w:val="43F90FED"/>
    <w:rsid w:val="43FC0DB2"/>
    <w:rsid w:val="44095B4D"/>
    <w:rsid w:val="440C5D56"/>
    <w:rsid w:val="44153F0C"/>
    <w:rsid w:val="44174583"/>
    <w:rsid w:val="441A5200"/>
    <w:rsid w:val="441B7736"/>
    <w:rsid w:val="4425456D"/>
    <w:rsid w:val="44336EAB"/>
    <w:rsid w:val="44393BD3"/>
    <w:rsid w:val="443E43CB"/>
    <w:rsid w:val="444014DC"/>
    <w:rsid w:val="444109FB"/>
    <w:rsid w:val="44416F50"/>
    <w:rsid w:val="444E22EA"/>
    <w:rsid w:val="444F5CF0"/>
    <w:rsid w:val="44584267"/>
    <w:rsid w:val="44613B53"/>
    <w:rsid w:val="44705173"/>
    <w:rsid w:val="44740841"/>
    <w:rsid w:val="4476407C"/>
    <w:rsid w:val="447B4A66"/>
    <w:rsid w:val="447D4136"/>
    <w:rsid w:val="448B5845"/>
    <w:rsid w:val="448C73DD"/>
    <w:rsid w:val="448E0EB7"/>
    <w:rsid w:val="44907237"/>
    <w:rsid w:val="449510AA"/>
    <w:rsid w:val="4499566C"/>
    <w:rsid w:val="449D7968"/>
    <w:rsid w:val="44AA6690"/>
    <w:rsid w:val="44B4690B"/>
    <w:rsid w:val="44B53006"/>
    <w:rsid w:val="44BA1648"/>
    <w:rsid w:val="44BB150F"/>
    <w:rsid w:val="44BE4FA9"/>
    <w:rsid w:val="44C30999"/>
    <w:rsid w:val="44C43057"/>
    <w:rsid w:val="44C87C0F"/>
    <w:rsid w:val="44CB4FB3"/>
    <w:rsid w:val="44D31B1E"/>
    <w:rsid w:val="44DF6F1B"/>
    <w:rsid w:val="44E54BDC"/>
    <w:rsid w:val="44E72763"/>
    <w:rsid w:val="44E92DF3"/>
    <w:rsid w:val="44F82D0E"/>
    <w:rsid w:val="45066F9C"/>
    <w:rsid w:val="451C5E9C"/>
    <w:rsid w:val="45214561"/>
    <w:rsid w:val="452C5F0A"/>
    <w:rsid w:val="453579B0"/>
    <w:rsid w:val="45385EDA"/>
    <w:rsid w:val="453F48AB"/>
    <w:rsid w:val="453F51DF"/>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026D9"/>
    <w:rsid w:val="45917B8A"/>
    <w:rsid w:val="45921E74"/>
    <w:rsid w:val="45970C36"/>
    <w:rsid w:val="459B634C"/>
    <w:rsid w:val="459F2381"/>
    <w:rsid w:val="45A74FA6"/>
    <w:rsid w:val="45B315CE"/>
    <w:rsid w:val="45B64B84"/>
    <w:rsid w:val="45C84001"/>
    <w:rsid w:val="45C85EA2"/>
    <w:rsid w:val="45CA5FF2"/>
    <w:rsid w:val="45E37678"/>
    <w:rsid w:val="45E526A6"/>
    <w:rsid w:val="45E56E31"/>
    <w:rsid w:val="45E64F36"/>
    <w:rsid w:val="45E66893"/>
    <w:rsid w:val="45E826B2"/>
    <w:rsid w:val="45F4334C"/>
    <w:rsid w:val="460D3781"/>
    <w:rsid w:val="46143BB4"/>
    <w:rsid w:val="46346A8F"/>
    <w:rsid w:val="46365246"/>
    <w:rsid w:val="463A2D38"/>
    <w:rsid w:val="46466453"/>
    <w:rsid w:val="464871AD"/>
    <w:rsid w:val="465918B0"/>
    <w:rsid w:val="4662020E"/>
    <w:rsid w:val="466D3070"/>
    <w:rsid w:val="46701D09"/>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35C12"/>
    <w:rsid w:val="46A55B0E"/>
    <w:rsid w:val="46A82992"/>
    <w:rsid w:val="46AD7A54"/>
    <w:rsid w:val="46B134DD"/>
    <w:rsid w:val="46B419BE"/>
    <w:rsid w:val="46B640D3"/>
    <w:rsid w:val="46C36C6F"/>
    <w:rsid w:val="46CD1F17"/>
    <w:rsid w:val="46D126E3"/>
    <w:rsid w:val="46D27228"/>
    <w:rsid w:val="46D67289"/>
    <w:rsid w:val="46DB64CD"/>
    <w:rsid w:val="46DD1D17"/>
    <w:rsid w:val="46E1018C"/>
    <w:rsid w:val="46E53AB0"/>
    <w:rsid w:val="46EE5C1E"/>
    <w:rsid w:val="46F37479"/>
    <w:rsid w:val="46FC2FE8"/>
    <w:rsid w:val="47033281"/>
    <w:rsid w:val="47065799"/>
    <w:rsid w:val="47073BE8"/>
    <w:rsid w:val="470872CF"/>
    <w:rsid w:val="470D53CA"/>
    <w:rsid w:val="471563E1"/>
    <w:rsid w:val="47167C67"/>
    <w:rsid w:val="47220E5E"/>
    <w:rsid w:val="472B4724"/>
    <w:rsid w:val="47333B1B"/>
    <w:rsid w:val="47351654"/>
    <w:rsid w:val="473D0BD8"/>
    <w:rsid w:val="47457188"/>
    <w:rsid w:val="47644CFB"/>
    <w:rsid w:val="47666951"/>
    <w:rsid w:val="47683159"/>
    <w:rsid w:val="476A7D07"/>
    <w:rsid w:val="47901132"/>
    <w:rsid w:val="479766B4"/>
    <w:rsid w:val="479A472B"/>
    <w:rsid w:val="479D7800"/>
    <w:rsid w:val="47A240A4"/>
    <w:rsid w:val="47A60277"/>
    <w:rsid w:val="47AA1593"/>
    <w:rsid w:val="47B44BED"/>
    <w:rsid w:val="47BC3466"/>
    <w:rsid w:val="47C05E0E"/>
    <w:rsid w:val="47C33A8A"/>
    <w:rsid w:val="47D730B6"/>
    <w:rsid w:val="47DD6A91"/>
    <w:rsid w:val="47E62C82"/>
    <w:rsid w:val="47E9396D"/>
    <w:rsid w:val="47EB0853"/>
    <w:rsid w:val="47EB5BFA"/>
    <w:rsid w:val="47FA20F9"/>
    <w:rsid w:val="47FC5259"/>
    <w:rsid w:val="47FF3A74"/>
    <w:rsid w:val="480B7A59"/>
    <w:rsid w:val="48111DC2"/>
    <w:rsid w:val="48130AE3"/>
    <w:rsid w:val="481321D9"/>
    <w:rsid w:val="48156BFB"/>
    <w:rsid w:val="482B39B5"/>
    <w:rsid w:val="482D350F"/>
    <w:rsid w:val="483C2A8C"/>
    <w:rsid w:val="48424FA1"/>
    <w:rsid w:val="484647AE"/>
    <w:rsid w:val="484F1901"/>
    <w:rsid w:val="4852747F"/>
    <w:rsid w:val="48594C05"/>
    <w:rsid w:val="485B36FA"/>
    <w:rsid w:val="485B41B6"/>
    <w:rsid w:val="485D5413"/>
    <w:rsid w:val="485D58DA"/>
    <w:rsid w:val="4864535D"/>
    <w:rsid w:val="48740F16"/>
    <w:rsid w:val="48747A97"/>
    <w:rsid w:val="48790384"/>
    <w:rsid w:val="487A2A25"/>
    <w:rsid w:val="487C0397"/>
    <w:rsid w:val="48850976"/>
    <w:rsid w:val="488D22FD"/>
    <w:rsid w:val="488E25F1"/>
    <w:rsid w:val="48913998"/>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1766A8"/>
    <w:rsid w:val="49224F55"/>
    <w:rsid w:val="49241D45"/>
    <w:rsid w:val="4929748F"/>
    <w:rsid w:val="492F1F4E"/>
    <w:rsid w:val="4935171C"/>
    <w:rsid w:val="49366254"/>
    <w:rsid w:val="493A0176"/>
    <w:rsid w:val="49432B91"/>
    <w:rsid w:val="494502AA"/>
    <w:rsid w:val="49535C21"/>
    <w:rsid w:val="495A27B6"/>
    <w:rsid w:val="495B528B"/>
    <w:rsid w:val="495C3370"/>
    <w:rsid w:val="496409A2"/>
    <w:rsid w:val="4968369D"/>
    <w:rsid w:val="496926EA"/>
    <w:rsid w:val="496B546B"/>
    <w:rsid w:val="49707759"/>
    <w:rsid w:val="49715E0F"/>
    <w:rsid w:val="497F5591"/>
    <w:rsid w:val="49822E2F"/>
    <w:rsid w:val="49856BBF"/>
    <w:rsid w:val="49895376"/>
    <w:rsid w:val="498F38E6"/>
    <w:rsid w:val="49927DFC"/>
    <w:rsid w:val="499322C4"/>
    <w:rsid w:val="4995554E"/>
    <w:rsid w:val="499B3646"/>
    <w:rsid w:val="499C3504"/>
    <w:rsid w:val="499C3A4F"/>
    <w:rsid w:val="49A43EE6"/>
    <w:rsid w:val="49A86A09"/>
    <w:rsid w:val="49AB3DB8"/>
    <w:rsid w:val="49B4201A"/>
    <w:rsid w:val="49BA6924"/>
    <w:rsid w:val="49C20C6C"/>
    <w:rsid w:val="49CE0C89"/>
    <w:rsid w:val="49D93C20"/>
    <w:rsid w:val="49DA3FD3"/>
    <w:rsid w:val="49DA7AB7"/>
    <w:rsid w:val="49E028D9"/>
    <w:rsid w:val="49E46DD1"/>
    <w:rsid w:val="49FA57FE"/>
    <w:rsid w:val="4A0238A8"/>
    <w:rsid w:val="4A0573EC"/>
    <w:rsid w:val="4A06116C"/>
    <w:rsid w:val="4A070E8E"/>
    <w:rsid w:val="4A09499E"/>
    <w:rsid w:val="4A14785B"/>
    <w:rsid w:val="4A175A09"/>
    <w:rsid w:val="4A2E7749"/>
    <w:rsid w:val="4A381BA6"/>
    <w:rsid w:val="4A3926E2"/>
    <w:rsid w:val="4A3F73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95521B"/>
    <w:rsid w:val="4A970AB1"/>
    <w:rsid w:val="4A975BCC"/>
    <w:rsid w:val="4A9B061C"/>
    <w:rsid w:val="4AA456B8"/>
    <w:rsid w:val="4AA75186"/>
    <w:rsid w:val="4AAF1B3A"/>
    <w:rsid w:val="4AB113DF"/>
    <w:rsid w:val="4AB75FB2"/>
    <w:rsid w:val="4ABB3CDE"/>
    <w:rsid w:val="4ABD1903"/>
    <w:rsid w:val="4AC4256B"/>
    <w:rsid w:val="4AC61571"/>
    <w:rsid w:val="4AC860DD"/>
    <w:rsid w:val="4AD162A8"/>
    <w:rsid w:val="4AD25C89"/>
    <w:rsid w:val="4AD768C6"/>
    <w:rsid w:val="4AE0796F"/>
    <w:rsid w:val="4AE30444"/>
    <w:rsid w:val="4AE31B85"/>
    <w:rsid w:val="4AEF0F11"/>
    <w:rsid w:val="4AF902F5"/>
    <w:rsid w:val="4AF94D42"/>
    <w:rsid w:val="4AFE29DE"/>
    <w:rsid w:val="4B0107DC"/>
    <w:rsid w:val="4B0B7787"/>
    <w:rsid w:val="4B103E7E"/>
    <w:rsid w:val="4B183767"/>
    <w:rsid w:val="4B205D7D"/>
    <w:rsid w:val="4B28587C"/>
    <w:rsid w:val="4B292683"/>
    <w:rsid w:val="4B294C7C"/>
    <w:rsid w:val="4B376E2E"/>
    <w:rsid w:val="4B385AE2"/>
    <w:rsid w:val="4B387AC6"/>
    <w:rsid w:val="4B3D5656"/>
    <w:rsid w:val="4B3F4861"/>
    <w:rsid w:val="4B4C459F"/>
    <w:rsid w:val="4B4C5488"/>
    <w:rsid w:val="4B50566A"/>
    <w:rsid w:val="4B53122B"/>
    <w:rsid w:val="4B571002"/>
    <w:rsid w:val="4B5912E9"/>
    <w:rsid w:val="4B5D1DDE"/>
    <w:rsid w:val="4B683C6A"/>
    <w:rsid w:val="4B705844"/>
    <w:rsid w:val="4B7224D0"/>
    <w:rsid w:val="4B724761"/>
    <w:rsid w:val="4B731C20"/>
    <w:rsid w:val="4B774607"/>
    <w:rsid w:val="4B7A3C96"/>
    <w:rsid w:val="4B7D4F5D"/>
    <w:rsid w:val="4B82716C"/>
    <w:rsid w:val="4B857EC6"/>
    <w:rsid w:val="4B8829C1"/>
    <w:rsid w:val="4B8A2918"/>
    <w:rsid w:val="4B901807"/>
    <w:rsid w:val="4B9B25E4"/>
    <w:rsid w:val="4B9E314D"/>
    <w:rsid w:val="4BAC5F66"/>
    <w:rsid w:val="4BAD4CA2"/>
    <w:rsid w:val="4BB037DE"/>
    <w:rsid w:val="4BC456EF"/>
    <w:rsid w:val="4BC647B0"/>
    <w:rsid w:val="4BCB1BAE"/>
    <w:rsid w:val="4BD94F2A"/>
    <w:rsid w:val="4BDF3CC4"/>
    <w:rsid w:val="4BDF4B49"/>
    <w:rsid w:val="4BE57E16"/>
    <w:rsid w:val="4BE819D0"/>
    <w:rsid w:val="4BE8649D"/>
    <w:rsid w:val="4C0236B4"/>
    <w:rsid w:val="4C0C091F"/>
    <w:rsid w:val="4C170C9D"/>
    <w:rsid w:val="4C192F75"/>
    <w:rsid w:val="4C1C0BD6"/>
    <w:rsid w:val="4C1E085C"/>
    <w:rsid w:val="4C1E7AAC"/>
    <w:rsid w:val="4C20259F"/>
    <w:rsid w:val="4C2840CB"/>
    <w:rsid w:val="4C312ECF"/>
    <w:rsid w:val="4C3C4F9D"/>
    <w:rsid w:val="4C422CA7"/>
    <w:rsid w:val="4C427C5C"/>
    <w:rsid w:val="4C5035A1"/>
    <w:rsid w:val="4C5F0B5D"/>
    <w:rsid w:val="4C606F33"/>
    <w:rsid w:val="4C6426ED"/>
    <w:rsid w:val="4C64471A"/>
    <w:rsid w:val="4C660EB4"/>
    <w:rsid w:val="4C6C2FE2"/>
    <w:rsid w:val="4C6D5BD4"/>
    <w:rsid w:val="4C77619E"/>
    <w:rsid w:val="4C7D00C0"/>
    <w:rsid w:val="4C860543"/>
    <w:rsid w:val="4C8740CC"/>
    <w:rsid w:val="4C8E3254"/>
    <w:rsid w:val="4C8E48D8"/>
    <w:rsid w:val="4C9538F4"/>
    <w:rsid w:val="4C974009"/>
    <w:rsid w:val="4CA6111C"/>
    <w:rsid w:val="4CA63B99"/>
    <w:rsid w:val="4CA867B8"/>
    <w:rsid w:val="4CB3742C"/>
    <w:rsid w:val="4CC17C3E"/>
    <w:rsid w:val="4CC25B41"/>
    <w:rsid w:val="4CC42462"/>
    <w:rsid w:val="4CC42E37"/>
    <w:rsid w:val="4CC82CB8"/>
    <w:rsid w:val="4CCD5921"/>
    <w:rsid w:val="4CD550D5"/>
    <w:rsid w:val="4CDA21DD"/>
    <w:rsid w:val="4CE472E9"/>
    <w:rsid w:val="4CF04CFC"/>
    <w:rsid w:val="4CF05C74"/>
    <w:rsid w:val="4CF26BC3"/>
    <w:rsid w:val="4CFB51DB"/>
    <w:rsid w:val="4CFC3F2E"/>
    <w:rsid w:val="4D0F1680"/>
    <w:rsid w:val="4D1D6CA0"/>
    <w:rsid w:val="4D2609C6"/>
    <w:rsid w:val="4D294464"/>
    <w:rsid w:val="4D2A2C09"/>
    <w:rsid w:val="4D2F5C2A"/>
    <w:rsid w:val="4D3204B4"/>
    <w:rsid w:val="4D33448A"/>
    <w:rsid w:val="4D3B19D7"/>
    <w:rsid w:val="4D3F3C02"/>
    <w:rsid w:val="4D3F4840"/>
    <w:rsid w:val="4D410392"/>
    <w:rsid w:val="4D422D07"/>
    <w:rsid w:val="4D427BBD"/>
    <w:rsid w:val="4D5036DC"/>
    <w:rsid w:val="4D570519"/>
    <w:rsid w:val="4D5A2B9C"/>
    <w:rsid w:val="4D5C5732"/>
    <w:rsid w:val="4D642619"/>
    <w:rsid w:val="4D656800"/>
    <w:rsid w:val="4D6C4B60"/>
    <w:rsid w:val="4D705706"/>
    <w:rsid w:val="4D7220A0"/>
    <w:rsid w:val="4D722EC4"/>
    <w:rsid w:val="4D76173E"/>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C6A4F"/>
    <w:rsid w:val="4DEF33CD"/>
    <w:rsid w:val="4DF20FEE"/>
    <w:rsid w:val="4DF27815"/>
    <w:rsid w:val="4DFD2A30"/>
    <w:rsid w:val="4E007E98"/>
    <w:rsid w:val="4E016672"/>
    <w:rsid w:val="4E066F25"/>
    <w:rsid w:val="4E0939E5"/>
    <w:rsid w:val="4E101A20"/>
    <w:rsid w:val="4E176DF3"/>
    <w:rsid w:val="4E1A2F68"/>
    <w:rsid w:val="4E1E7D0E"/>
    <w:rsid w:val="4E210A5C"/>
    <w:rsid w:val="4E3869D8"/>
    <w:rsid w:val="4E396386"/>
    <w:rsid w:val="4E3A2C21"/>
    <w:rsid w:val="4E412A4D"/>
    <w:rsid w:val="4E4221EC"/>
    <w:rsid w:val="4E4475F5"/>
    <w:rsid w:val="4E587463"/>
    <w:rsid w:val="4E5A3449"/>
    <w:rsid w:val="4E5F4B89"/>
    <w:rsid w:val="4E68543B"/>
    <w:rsid w:val="4E6906EE"/>
    <w:rsid w:val="4E694E99"/>
    <w:rsid w:val="4E6D1740"/>
    <w:rsid w:val="4E7125DA"/>
    <w:rsid w:val="4E795FE9"/>
    <w:rsid w:val="4E797F06"/>
    <w:rsid w:val="4E8D3751"/>
    <w:rsid w:val="4E8D41BC"/>
    <w:rsid w:val="4E904370"/>
    <w:rsid w:val="4E937763"/>
    <w:rsid w:val="4E973655"/>
    <w:rsid w:val="4E991182"/>
    <w:rsid w:val="4E9E5BA9"/>
    <w:rsid w:val="4E9F5613"/>
    <w:rsid w:val="4EA9172F"/>
    <w:rsid w:val="4EAC241A"/>
    <w:rsid w:val="4EB67945"/>
    <w:rsid w:val="4ECA2CB3"/>
    <w:rsid w:val="4ED11474"/>
    <w:rsid w:val="4ED32EBD"/>
    <w:rsid w:val="4EE61722"/>
    <w:rsid w:val="4EE86D63"/>
    <w:rsid w:val="4EEC3838"/>
    <w:rsid w:val="4EEE11A3"/>
    <w:rsid w:val="4EF07E6E"/>
    <w:rsid w:val="4EF63696"/>
    <w:rsid w:val="4EFE4EC2"/>
    <w:rsid w:val="4EFF3444"/>
    <w:rsid w:val="4F037BFA"/>
    <w:rsid w:val="4F0441E5"/>
    <w:rsid w:val="4F155F27"/>
    <w:rsid w:val="4F181305"/>
    <w:rsid w:val="4F1A238F"/>
    <w:rsid w:val="4F2C365D"/>
    <w:rsid w:val="4F36758C"/>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0989"/>
    <w:rsid w:val="4FD365FC"/>
    <w:rsid w:val="4FD62D61"/>
    <w:rsid w:val="4FDC6418"/>
    <w:rsid w:val="4FE13662"/>
    <w:rsid w:val="4FE15781"/>
    <w:rsid w:val="4FE3603D"/>
    <w:rsid w:val="4FEC25BA"/>
    <w:rsid w:val="4FF5506D"/>
    <w:rsid w:val="4FF8343A"/>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4D1CFC"/>
    <w:rsid w:val="5052029B"/>
    <w:rsid w:val="505F1426"/>
    <w:rsid w:val="506309DB"/>
    <w:rsid w:val="5065660C"/>
    <w:rsid w:val="50752AF6"/>
    <w:rsid w:val="50771C00"/>
    <w:rsid w:val="508A668E"/>
    <w:rsid w:val="50953E72"/>
    <w:rsid w:val="509A3231"/>
    <w:rsid w:val="509C736A"/>
    <w:rsid w:val="50AE1BC5"/>
    <w:rsid w:val="50AF1C59"/>
    <w:rsid w:val="50B139BD"/>
    <w:rsid w:val="50B92297"/>
    <w:rsid w:val="50BD1498"/>
    <w:rsid w:val="50BE1B1D"/>
    <w:rsid w:val="50C371C0"/>
    <w:rsid w:val="50C51F05"/>
    <w:rsid w:val="50C65C4E"/>
    <w:rsid w:val="50C65E30"/>
    <w:rsid w:val="50D228CF"/>
    <w:rsid w:val="50E63519"/>
    <w:rsid w:val="50E9032C"/>
    <w:rsid w:val="50ED76FB"/>
    <w:rsid w:val="50F568D9"/>
    <w:rsid w:val="50FD2A03"/>
    <w:rsid w:val="510D4A1E"/>
    <w:rsid w:val="51184E6D"/>
    <w:rsid w:val="51187610"/>
    <w:rsid w:val="511A4D7E"/>
    <w:rsid w:val="512B350B"/>
    <w:rsid w:val="51375EB3"/>
    <w:rsid w:val="513853CC"/>
    <w:rsid w:val="51392D77"/>
    <w:rsid w:val="513E4493"/>
    <w:rsid w:val="513F081D"/>
    <w:rsid w:val="514C1E16"/>
    <w:rsid w:val="515361F4"/>
    <w:rsid w:val="515529BB"/>
    <w:rsid w:val="515A64E3"/>
    <w:rsid w:val="515C30A6"/>
    <w:rsid w:val="516157F7"/>
    <w:rsid w:val="5161698E"/>
    <w:rsid w:val="5163574F"/>
    <w:rsid w:val="517C0CA0"/>
    <w:rsid w:val="517F00BC"/>
    <w:rsid w:val="51861BC2"/>
    <w:rsid w:val="5188076F"/>
    <w:rsid w:val="518B2D64"/>
    <w:rsid w:val="51934D4E"/>
    <w:rsid w:val="5195134A"/>
    <w:rsid w:val="5195533B"/>
    <w:rsid w:val="519645E3"/>
    <w:rsid w:val="5199124A"/>
    <w:rsid w:val="519D2F03"/>
    <w:rsid w:val="51AD6F40"/>
    <w:rsid w:val="51BE2EAE"/>
    <w:rsid w:val="51C0716E"/>
    <w:rsid w:val="51C24631"/>
    <w:rsid w:val="51D271FD"/>
    <w:rsid w:val="51D43598"/>
    <w:rsid w:val="51DA51E8"/>
    <w:rsid w:val="51DA5890"/>
    <w:rsid w:val="51E90CD5"/>
    <w:rsid w:val="51EE7B3E"/>
    <w:rsid w:val="51F51BD1"/>
    <w:rsid w:val="51F96848"/>
    <w:rsid w:val="51FB40B5"/>
    <w:rsid w:val="51FC1F40"/>
    <w:rsid w:val="52073487"/>
    <w:rsid w:val="520A7B89"/>
    <w:rsid w:val="520E648E"/>
    <w:rsid w:val="521C5D43"/>
    <w:rsid w:val="521D7ED7"/>
    <w:rsid w:val="5239194F"/>
    <w:rsid w:val="52612620"/>
    <w:rsid w:val="526478E1"/>
    <w:rsid w:val="526A546C"/>
    <w:rsid w:val="527847C1"/>
    <w:rsid w:val="52790FD9"/>
    <w:rsid w:val="52850AB6"/>
    <w:rsid w:val="52887A7D"/>
    <w:rsid w:val="52894DE6"/>
    <w:rsid w:val="528C5E23"/>
    <w:rsid w:val="52965280"/>
    <w:rsid w:val="52993DA6"/>
    <w:rsid w:val="529B5EE8"/>
    <w:rsid w:val="529F0D9B"/>
    <w:rsid w:val="52CA3D8F"/>
    <w:rsid w:val="52CD21D8"/>
    <w:rsid w:val="52CF0A4A"/>
    <w:rsid w:val="52DC66BA"/>
    <w:rsid w:val="52DC7C0E"/>
    <w:rsid w:val="52DD5B35"/>
    <w:rsid w:val="52DE6D3F"/>
    <w:rsid w:val="52DF189C"/>
    <w:rsid w:val="52DF42EC"/>
    <w:rsid w:val="52E427EA"/>
    <w:rsid w:val="52EB52A5"/>
    <w:rsid w:val="52ED02D2"/>
    <w:rsid w:val="52EF0051"/>
    <w:rsid w:val="52FC1C88"/>
    <w:rsid w:val="53000592"/>
    <w:rsid w:val="53047263"/>
    <w:rsid w:val="53112C1D"/>
    <w:rsid w:val="531241BA"/>
    <w:rsid w:val="531304C8"/>
    <w:rsid w:val="53155215"/>
    <w:rsid w:val="531621BA"/>
    <w:rsid w:val="531D0F10"/>
    <w:rsid w:val="53207ABD"/>
    <w:rsid w:val="5327529D"/>
    <w:rsid w:val="53290BFD"/>
    <w:rsid w:val="53293966"/>
    <w:rsid w:val="532C389F"/>
    <w:rsid w:val="532F6301"/>
    <w:rsid w:val="53365E0B"/>
    <w:rsid w:val="533A7126"/>
    <w:rsid w:val="533E0346"/>
    <w:rsid w:val="534246C3"/>
    <w:rsid w:val="53495ACD"/>
    <w:rsid w:val="535337EC"/>
    <w:rsid w:val="53556970"/>
    <w:rsid w:val="5366542B"/>
    <w:rsid w:val="536D41AE"/>
    <w:rsid w:val="536F7573"/>
    <w:rsid w:val="5370597D"/>
    <w:rsid w:val="53763151"/>
    <w:rsid w:val="53794E20"/>
    <w:rsid w:val="537A78AC"/>
    <w:rsid w:val="537D3C2F"/>
    <w:rsid w:val="537F08B7"/>
    <w:rsid w:val="538C786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DF5634"/>
    <w:rsid w:val="53E07B00"/>
    <w:rsid w:val="53E27BE1"/>
    <w:rsid w:val="53EC3D29"/>
    <w:rsid w:val="53F90D34"/>
    <w:rsid w:val="54002BFD"/>
    <w:rsid w:val="541942B6"/>
    <w:rsid w:val="541C5403"/>
    <w:rsid w:val="542A3FEF"/>
    <w:rsid w:val="542A5504"/>
    <w:rsid w:val="542F7A60"/>
    <w:rsid w:val="54300727"/>
    <w:rsid w:val="54322F66"/>
    <w:rsid w:val="54346136"/>
    <w:rsid w:val="54525BFB"/>
    <w:rsid w:val="5452765B"/>
    <w:rsid w:val="54550067"/>
    <w:rsid w:val="54580F5A"/>
    <w:rsid w:val="546947B3"/>
    <w:rsid w:val="54757648"/>
    <w:rsid w:val="5478695B"/>
    <w:rsid w:val="54860559"/>
    <w:rsid w:val="548810E8"/>
    <w:rsid w:val="54906088"/>
    <w:rsid w:val="54907EF0"/>
    <w:rsid w:val="549438A5"/>
    <w:rsid w:val="549C6534"/>
    <w:rsid w:val="549D5652"/>
    <w:rsid w:val="54A14490"/>
    <w:rsid w:val="54A153FA"/>
    <w:rsid w:val="54A600F7"/>
    <w:rsid w:val="54A80349"/>
    <w:rsid w:val="54AB29C5"/>
    <w:rsid w:val="54AB36A1"/>
    <w:rsid w:val="54B171C4"/>
    <w:rsid w:val="54B61DA8"/>
    <w:rsid w:val="54B62C99"/>
    <w:rsid w:val="54CC47C4"/>
    <w:rsid w:val="54CC75CA"/>
    <w:rsid w:val="54DF688B"/>
    <w:rsid w:val="54E136F7"/>
    <w:rsid w:val="54E95643"/>
    <w:rsid w:val="550E6C32"/>
    <w:rsid w:val="551A7959"/>
    <w:rsid w:val="551C2E90"/>
    <w:rsid w:val="552D52C7"/>
    <w:rsid w:val="554E0863"/>
    <w:rsid w:val="555737A6"/>
    <w:rsid w:val="55577AFF"/>
    <w:rsid w:val="55581E57"/>
    <w:rsid w:val="55611FED"/>
    <w:rsid w:val="556C1CC4"/>
    <w:rsid w:val="55712540"/>
    <w:rsid w:val="55743D64"/>
    <w:rsid w:val="5577741D"/>
    <w:rsid w:val="558126EC"/>
    <w:rsid w:val="55851522"/>
    <w:rsid w:val="55883323"/>
    <w:rsid w:val="55883669"/>
    <w:rsid w:val="558A44CE"/>
    <w:rsid w:val="55906233"/>
    <w:rsid w:val="55910661"/>
    <w:rsid w:val="559537DA"/>
    <w:rsid w:val="559A7344"/>
    <w:rsid w:val="55A578C3"/>
    <w:rsid w:val="55A63100"/>
    <w:rsid w:val="55AB1B1D"/>
    <w:rsid w:val="55B403DD"/>
    <w:rsid w:val="55B511EE"/>
    <w:rsid w:val="55B85433"/>
    <w:rsid w:val="55C0140E"/>
    <w:rsid w:val="55C529C2"/>
    <w:rsid w:val="55CC27C2"/>
    <w:rsid w:val="55CD24CF"/>
    <w:rsid w:val="55CF48E7"/>
    <w:rsid w:val="55D0342A"/>
    <w:rsid w:val="55D50C9C"/>
    <w:rsid w:val="55D849A1"/>
    <w:rsid w:val="55E26824"/>
    <w:rsid w:val="55E31A15"/>
    <w:rsid w:val="55E5367A"/>
    <w:rsid w:val="55E83D2F"/>
    <w:rsid w:val="55FE6BCF"/>
    <w:rsid w:val="56030BD3"/>
    <w:rsid w:val="560469FC"/>
    <w:rsid w:val="5609174E"/>
    <w:rsid w:val="56175F26"/>
    <w:rsid w:val="56214A7B"/>
    <w:rsid w:val="56251D0A"/>
    <w:rsid w:val="562E1F90"/>
    <w:rsid w:val="56373380"/>
    <w:rsid w:val="563B616D"/>
    <w:rsid w:val="56436207"/>
    <w:rsid w:val="56456373"/>
    <w:rsid w:val="564C326E"/>
    <w:rsid w:val="5655420D"/>
    <w:rsid w:val="56594206"/>
    <w:rsid w:val="565B61BB"/>
    <w:rsid w:val="566510CB"/>
    <w:rsid w:val="56655663"/>
    <w:rsid w:val="567215D4"/>
    <w:rsid w:val="567A6CC0"/>
    <w:rsid w:val="567E4F7B"/>
    <w:rsid w:val="568C18F5"/>
    <w:rsid w:val="568D0940"/>
    <w:rsid w:val="56902B88"/>
    <w:rsid w:val="56927DA4"/>
    <w:rsid w:val="56964530"/>
    <w:rsid w:val="56A032E3"/>
    <w:rsid w:val="56A04928"/>
    <w:rsid w:val="56A418DC"/>
    <w:rsid w:val="56A50EBB"/>
    <w:rsid w:val="56A83AE3"/>
    <w:rsid w:val="56AB6535"/>
    <w:rsid w:val="56AD339E"/>
    <w:rsid w:val="56B0619F"/>
    <w:rsid w:val="56B16CBD"/>
    <w:rsid w:val="56B96F66"/>
    <w:rsid w:val="56BE75C0"/>
    <w:rsid w:val="56BF7B7C"/>
    <w:rsid w:val="56C12AE4"/>
    <w:rsid w:val="56C71CAD"/>
    <w:rsid w:val="56CE5F20"/>
    <w:rsid w:val="56DA3EBA"/>
    <w:rsid w:val="56DE40C5"/>
    <w:rsid w:val="56E33383"/>
    <w:rsid w:val="56E46134"/>
    <w:rsid w:val="56E81DBE"/>
    <w:rsid w:val="56ED5E03"/>
    <w:rsid w:val="56FB0134"/>
    <w:rsid w:val="56FC2339"/>
    <w:rsid w:val="57012351"/>
    <w:rsid w:val="57095761"/>
    <w:rsid w:val="5714042F"/>
    <w:rsid w:val="571777C3"/>
    <w:rsid w:val="571B1F7E"/>
    <w:rsid w:val="571D34AC"/>
    <w:rsid w:val="57267017"/>
    <w:rsid w:val="57292292"/>
    <w:rsid w:val="572A6C17"/>
    <w:rsid w:val="572E4793"/>
    <w:rsid w:val="572E7E52"/>
    <w:rsid w:val="573403E6"/>
    <w:rsid w:val="573459F0"/>
    <w:rsid w:val="573B3910"/>
    <w:rsid w:val="573F4986"/>
    <w:rsid w:val="574460A0"/>
    <w:rsid w:val="57484376"/>
    <w:rsid w:val="574B4B12"/>
    <w:rsid w:val="575425F9"/>
    <w:rsid w:val="57597FAA"/>
    <w:rsid w:val="575A2017"/>
    <w:rsid w:val="575C5FBB"/>
    <w:rsid w:val="57685F5D"/>
    <w:rsid w:val="57692A18"/>
    <w:rsid w:val="576D6DDF"/>
    <w:rsid w:val="57702374"/>
    <w:rsid w:val="57702B00"/>
    <w:rsid w:val="57780ED4"/>
    <w:rsid w:val="577E3A90"/>
    <w:rsid w:val="57886A0D"/>
    <w:rsid w:val="57896321"/>
    <w:rsid w:val="578B78A1"/>
    <w:rsid w:val="579A7C07"/>
    <w:rsid w:val="579F309F"/>
    <w:rsid w:val="57A46FEE"/>
    <w:rsid w:val="57AF7168"/>
    <w:rsid w:val="57B02763"/>
    <w:rsid w:val="57B6547E"/>
    <w:rsid w:val="57BC7C9C"/>
    <w:rsid w:val="57BD351F"/>
    <w:rsid w:val="57BF6387"/>
    <w:rsid w:val="57C25C8B"/>
    <w:rsid w:val="57D01AAC"/>
    <w:rsid w:val="57DA0D38"/>
    <w:rsid w:val="57DD4E33"/>
    <w:rsid w:val="57DE0A52"/>
    <w:rsid w:val="57DF6500"/>
    <w:rsid w:val="57E1418D"/>
    <w:rsid w:val="57E143B6"/>
    <w:rsid w:val="57E60B9B"/>
    <w:rsid w:val="57E73B61"/>
    <w:rsid w:val="57F01737"/>
    <w:rsid w:val="57F73696"/>
    <w:rsid w:val="57FA3FC4"/>
    <w:rsid w:val="58005923"/>
    <w:rsid w:val="5803475B"/>
    <w:rsid w:val="580A6FBE"/>
    <w:rsid w:val="580F5BC1"/>
    <w:rsid w:val="58153B58"/>
    <w:rsid w:val="5822786C"/>
    <w:rsid w:val="58243371"/>
    <w:rsid w:val="58293CFC"/>
    <w:rsid w:val="58302962"/>
    <w:rsid w:val="5835010B"/>
    <w:rsid w:val="583A41E4"/>
    <w:rsid w:val="5846366F"/>
    <w:rsid w:val="584654C9"/>
    <w:rsid w:val="58470241"/>
    <w:rsid w:val="58484F55"/>
    <w:rsid w:val="58563BF0"/>
    <w:rsid w:val="58590DD2"/>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8792E"/>
    <w:rsid w:val="58A948C8"/>
    <w:rsid w:val="58B156C4"/>
    <w:rsid w:val="58B8443B"/>
    <w:rsid w:val="58BC4002"/>
    <w:rsid w:val="58C47A68"/>
    <w:rsid w:val="58C6178A"/>
    <w:rsid w:val="58C66C0B"/>
    <w:rsid w:val="58D720A4"/>
    <w:rsid w:val="58DB456A"/>
    <w:rsid w:val="58E909DD"/>
    <w:rsid w:val="58EB1C90"/>
    <w:rsid w:val="58F57D12"/>
    <w:rsid w:val="58F60AFF"/>
    <w:rsid w:val="58FD7109"/>
    <w:rsid w:val="59094784"/>
    <w:rsid w:val="59094BFF"/>
    <w:rsid w:val="590C40DA"/>
    <w:rsid w:val="591D7EA3"/>
    <w:rsid w:val="59267EF0"/>
    <w:rsid w:val="59314627"/>
    <w:rsid w:val="59376E4C"/>
    <w:rsid w:val="59421F7E"/>
    <w:rsid w:val="59424509"/>
    <w:rsid w:val="594935F2"/>
    <w:rsid w:val="594C2750"/>
    <w:rsid w:val="595C0946"/>
    <w:rsid w:val="59604A5E"/>
    <w:rsid w:val="59622E8F"/>
    <w:rsid w:val="59642A7A"/>
    <w:rsid w:val="596D30DC"/>
    <w:rsid w:val="596D32B4"/>
    <w:rsid w:val="59774D3E"/>
    <w:rsid w:val="598D2BA7"/>
    <w:rsid w:val="599148CE"/>
    <w:rsid w:val="599A1291"/>
    <w:rsid w:val="599E418E"/>
    <w:rsid w:val="59A22883"/>
    <w:rsid w:val="59A24ED6"/>
    <w:rsid w:val="59A6607B"/>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0F5868"/>
    <w:rsid w:val="5A1215B1"/>
    <w:rsid w:val="5A1D0AF2"/>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77D22"/>
    <w:rsid w:val="5A5C7772"/>
    <w:rsid w:val="5A6169CB"/>
    <w:rsid w:val="5A6336A1"/>
    <w:rsid w:val="5A6B7C88"/>
    <w:rsid w:val="5A6F5AD1"/>
    <w:rsid w:val="5A73612A"/>
    <w:rsid w:val="5A7F6F98"/>
    <w:rsid w:val="5A8F76C1"/>
    <w:rsid w:val="5A921A04"/>
    <w:rsid w:val="5A9A0A66"/>
    <w:rsid w:val="5AA541CF"/>
    <w:rsid w:val="5AAF48E4"/>
    <w:rsid w:val="5AB96041"/>
    <w:rsid w:val="5ABB58AA"/>
    <w:rsid w:val="5ABC4831"/>
    <w:rsid w:val="5ABC6BFA"/>
    <w:rsid w:val="5AC366EB"/>
    <w:rsid w:val="5AC43AE0"/>
    <w:rsid w:val="5AC4427C"/>
    <w:rsid w:val="5AD054B7"/>
    <w:rsid w:val="5AD149C0"/>
    <w:rsid w:val="5AD20D04"/>
    <w:rsid w:val="5AD510F0"/>
    <w:rsid w:val="5AEB0D36"/>
    <w:rsid w:val="5AF82FCA"/>
    <w:rsid w:val="5AF8657A"/>
    <w:rsid w:val="5AFE5C3F"/>
    <w:rsid w:val="5B000850"/>
    <w:rsid w:val="5B0A133A"/>
    <w:rsid w:val="5B152C30"/>
    <w:rsid w:val="5B187495"/>
    <w:rsid w:val="5B1945A0"/>
    <w:rsid w:val="5B1B10FA"/>
    <w:rsid w:val="5B1B5003"/>
    <w:rsid w:val="5B225A79"/>
    <w:rsid w:val="5B2445B5"/>
    <w:rsid w:val="5B2559CC"/>
    <w:rsid w:val="5B2A41C4"/>
    <w:rsid w:val="5B2B5E52"/>
    <w:rsid w:val="5B3E0A56"/>
    <w:rsid w:val="5B492D29"/>
    <w:rsid w:val="5B4A18C0"/>
    <w:rsid w:val="5B532679"/>
    <w:rsid w:val="5B5345D7"/>
    <w:rsid w:val="5B570BDE"/>
    <w:rsid w:val="5B5B64C5"/>
    <w:rsid w:val="5B6207A7"/>
    <w:rsid w:val="5B627DC7"/>
    <w:rsid w:val="5B6C5737"/>
    <w:rsid w:val="5B763263"/>
    <w:rsid w:val="5B896F76"/>
    <w:rsid w:val="5B8F287C"/>
    <w:rsid w:val="5B9319B5"/>
    <w:rsid w:val="5B975E5B"/>
    <w:rsid w:val="5B9C0984"/>
    <w:rsid w:val="5BA65080"/>
    <w:rsid w:val="5BA76A78"/>
    <w:rsid w:val="5BAB56CD"/>
    <w:rsid w:val="5BB214B7"/>
    <w:rsid w:val="5BB424C4"/>
    <w:rsid w:val="5BB576AD"/>
    <w:rsid w:val="5BBE6EBD"/>
    <w:rsid w:val="5BC00A5C"/>
    <w:rsid w:val="5BC02787"/>
    <w:rsid w:val="5BC24CBE"/>
    <w:rsid w:val="5BC52B9A"/>
    <w:rsid w:val="5BCD45FD"/>
    <w:rsid w:val="5BCD6158"/>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4B6F2F"/>
    <w:rsid w:val="5C500AF8"/>
    <w:rsid w:val="5C517866"/>
    <w:rsid w:val="5C523483"/>
    <w:rsid w:val="5C5348B4"/>
    <w:rsid w:val="5C5E033F"/>
    <w:rsid w:val="5C6875EE"/>
    <w:rsid w:val="5C6F12DC"/>
    <w:rsid w:val="5C7A2919"/>
    <w:rsid w:val="5C822104"/>
    <w:rsid w:val="5C8A07D2"/>
    <w:rsid w:val="5C9E50D0"/>
    <w:rsid w:val="5CBF4297"/>
    <w:rsid w:val="5CC31B68"/>
    <w:rsid w:val="5CC43404"/>
    <w:rsid w:val="5CC93DAE"/>
    <w:rsid w:val="5CD31EE3"/>
    <w:rsid w:val="5CE1654F"/>
    <w:rsid w:val="5CE47CF9"/>
    <w:rsid w:val="5CEB1D70"/>
    <w:rsid w:val="5CF45558"/>
    <w:rsid w:val="5CF70E19"/>
    <w:rsid w:val="5D00730C"/>
    <w:rsid w:val="5D072BC8"/>
    <w:rsid w:val="5D076525"/>
    <w:rsid w:val="5D0A3A75"/>
    <w:rsid w:val="5D1558AD"/>
    <w:rsid w:val="5D19384D"/>
    <w:rsid w:val="5D22473A"/>
    <w:rsid w:val="5D237B4C"/>
    <w:rsid w:val="5D2B5629"/>
    <w:rsid w:val="5D301CD3"/>
    <w:rsid w:val="5D315CEB"/>
    <w:rsid w:val="5D326462"/>
    <w:rsid w:val="5D3926A3"/>
    <w:rsid w:val="5D3B59DF"/>
    <w:rsid w:val="5D3C5FD8"/>
    <w:rsid w:val="5D436969"/>
    <w:rsid w:val="5D473075"/>
    <w:rsid w:val="5D475E41"/>
    <w:rsid w:val="5D4822EE"/>
    <w:rsid w:val="5D5864DB"/>
    <w:rsid w:val="5D73393B"/>
    <w:rsid w:val="5D76353B"/>
    <w:rsid w:val="5D784379"/>
    <w:rsid w:val="5D7B3457"/>
    <w:rsid w:val="5D826C13"/>
    <w:rsid w:val="5D8B2715"/>
    <w:rsid w:val="5D8D250E"/>
    <w:rsid w:val="5D8F399C"/>
    <w:rsid w:val="5D8F6111"/>
    <w:rsid w:val="5D915AFD"/>
    <w:rsid w:val="5D9404A9"/>
    <w:rsid w:val="5D9A23F4"/>
    <w:rsid w:val="5D9F6617"/>
    <w:rsid w:val="5D9F7C74"/>
    <w:rsid w:val="5DAD00BF"/>
    <w:rsid w:val="5DAE2E8C"/>
    <w:rsid w:val="5DAE7F34"/>
    <w:rsid w:val="5DB65502"/>
    <w:rsid w:val="5DB906BB"/>
    <w:rsid w:val="5DCE472A"/>
    <w:rsid w:val="5DD70750"/>
    <w:rsid w:val="5DE44DF4"/>
    <w:rsid w:val="5DED4540"/>
    <w:rsid w:val="5DFD4406"/>
    <w:rsid w:val="5E00720B"/>
    <w:rsid w:val="5E012896"/>
    <w:rsid w:val="5E074911"/>
    <w:rsid w:val="5E0825B2"/>
    <w:rsid w:val="5E0A6049"/>
    <w:rsid w:val="5E156B70"/>
    <w:rsid w:val="5E1574AD"/>
    <w:rsid w:val="5E21165A"/>
    <w:rsid w:val="5E226508"/>
    <w:rsid w:val="5E2368B5"/>
    <w:rsid w:val="5E344390"/>
    <w:rsid w:val="5E352EB6"/>
    <w:rsid w:val="5E400BF0"/>
    <w:rsid w:val="5E4250B0"/>
    <w:rsid w:val="5E4A3E88"/>
    <w:rsid w:val="5E4E539E"/>
    <w:rsid w:val="5E5436CD"/>
    <w:rsid w:val="5E5F0687"/>
    <w:rsid w:val="5E6454D9"/>
    <w:rsid w:val="5E680BE8"/>
    <w:rsid w:val="5E6B7FF0"/>
    <w:rsid w:val="5E754A5D"/>
    <w:rsid w:val="5E783202"/>
    <w:rsid w:val="5E7842EE"/>
    <w:rsid w:val="5E7A4974"/>
    <w:rsid w:val="5E803D55"/>
    <w:rsid w:val="5E854DAE"/>
    <w:rsid w:val="5EA36A9B"/>
    <w:rsid w:val="5EA648E2"/>
    <w:rsid w:val="5EA768DE"/>
    <w:rsid w:val="5EB32415"/>
    <w:rsid w:val="5EB52E6F"/>
    <w:rsid w:val="5EB90534"/>
    <w:rsid w:val="5EC94A60"/>
    <w:rsid w:val="5ED95EEE"/>
    <w:rsid w:val="5EE55DDE"/>
    <w:rsid w:val="5EF04AC4"/>
    <w:rsid w:val="5EF47473"/>
    <w:rsid w:val="5EFE064F"/>
    <w:rsid w:val="5F061DE5"/>
    <w:rsid w:val="5F09081F"/>
    <w:rsid w:val="5F1111AD"/>
    <w:rsid w:val="5F121A0D"/>
    <w:rsid w:val="5F1B27DE"/>
    <w:rsid w:val="5F2C64A1"/>
    <w:rsid w:val="5F39582E"/>
    <w:rsid w:val="5F405CF4"/>
    <w:rsid w:val="5F45602C"/>
    <w:rsid w:val="5F4632C4"/>
    <w:rsid w:val="5F482400"/>
    <w:rsid w:val="5F4A58A7"/>
    <w:rsid w:val="5F527FC9"/>
    <w:rsid w:val="5F531ECF"/>
    <w:rsid w:val="5F57147C"/>
    <w:rsid w:val="5F587105"/>
    <w:rsid w:val="5F6028D5"/>
    <w:rsid w:val="5F61415F"/>
    <w:rsid w:val="5F646936"/>
    <w:rsid w:val="5F7202DD"/>
    <w:rsid w:val="5F7602E5"/>
    <w:rsid w:val="5F764A5E"/>
    <w:rsid w:val="5F790921"/>
    <w:rsid w:val="5F7D66DE"/>
    <w:rsid w:val="5F810033"/>
    <w:rsid w:val="5F844DC9"/>
    <w:rsid w:val="5F8806B8"/>
    <w:rsid w:val="5F8C52DB"/>
    <w:rsid w:val="5F966692"/>
    <w:rsid w:val="5F99467F"/>
    <w:rsid w:val="5FA00A10"/>
    <w:rsid w:val="5FA4374A"/>
    <w:rsid w:val="5FA4380A"/>
    <w:rsid w:val="5FA535DF"/>
    <w:rsid w:val="5FA5501A"/>
    <w:rsid w:val="5FAB674F"/>
    <w:rsid w:val="5FAF179F"/>
    <w:rsid w:val="5FB25387"/>
    <w:rsid w:val="5FBF3440"/>
    <w:rsid w:val="5FC53509"/>
    <w:rsid w:val="5FD20829"/>
    <w:rsid w:val="5FEB0680"/>
    <w:rsid w:val="5FF744A9"/>
    <w:rsid w:val="5FF76947"/>
    <w:rsid w:val="5FFB17C7"/>
    <w:rsid w:val="5FFE6C22"/>
    <w:rsid w:val="60000309"/>
    <w:rsid w:val="600B6B90"/>
    <w:rsid w:val="600C3224"/>
    <w:rsid w:val="600F5E59"/>
    <w:rsid w:val="600F6605"/>
    <w:rsid w:val="60141B2B"/>
    <w:rsid w:val="60143AD3"/>
    <w:rsid w:val="60281FCD"/>
    <w:rsid w:val="602876AC"/>
    <w:rsid w:val="602C5092"/>
    <w:rsid w:val="603215F4"/>
    <w:rsid w:val="603771DA"/>
    <w:rsid w:val="604C5236"/>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A562A1"/>
    <w:rsid w:val="60B024FB"/>
    <w:rsid w:val="60B77B1A"/>
    <w:rsid w:val="60BA0952"/>
    <w:rsid w:val="60C02A5F"/>
    <w:rsid w:val="60C43BAB"/>
    <w:rsid w:val="60C467BC"/>
    <w:rsid w:val="60C5483E"/>
    <w:rsid w:val="60C566E2"/>
    <w:rsid w:val="60C867C5"/>
    <w:rsid w:val="60D3354A"/>
    <w:rsid w:val="60D4561F"/>
    <w:rsid w:val="60D67E78"/>
    <w:rsid w:val="60DB0800"/>
    <w:rsid w:val="60DE0DB6"/>
    <w:rsid w:val="60E25F60"/>
    <w:rsid w:val="60E54273"/>
    <w:rsid w:val="60F027B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12409"/>
    <w:rsid w:val="615B2659"/>
    <w:rsid w:val="615E36E9"/>
    <w:rsid w:val="615E3F04"/>
    <w:rsid w:val="61605715"/>
    <w:rsid w:val="61676068"/>
    <w:rsid w:val="616B25D0"/>
    <w:rsid w:val="616C1663"/>
    <w:rsid w:val="616E223F"/>
    <w:rsid w:val="617305C5"/>
    <w:rsid w:val="61751F59"/>
    <w:rsid w:val="61792BAF"/>
    <w:rsid w:val="617C28AF"/>
    <w:rsid w:val="61843F91"/>
    <w:rsid w:val="618A6058"/>
    <w:rsid w:val="61963257"/>
    <w:rsid w:val="6196670E"/>
    <w:rsid w:val="61972737"/>
    <w:rsid w:val="619C38B4"/>
    <w:rsid w:val="61A31509"/>
    <w:rsid w:val="61A4486B"/>
    <w:rsid w:val="61B33DDF"/>
    <w:rsid w:val="61B628DA"/>
    <w:rsid w:val="61BB4A1B"/>
    <w:rsid w:val="61BC23E5"/>
    <w:rsid w:val="61CD3107"/>
    <w:rsid w:val="61D21120"/>
    <w:rsid w:val="61D63A72"/>
    <w:rsid w:val="61E728F9"/>
    <w:rsid w:val="61F3045C"/>
    <w:rsid w:val="61F3667F"/>
    <w:rsid w:val="61F43F82"/>
    <w:rsid w:val="61FB110C"/>
    <w:rsid w:val="620B2B74"/>
    <w:rsid w:val="6210415F"/>
    <w:rsid w:val="62185165"/>
    <w:rsid w:val="621D66D4"/>
    <w:rsid w:val="62220209"/>
    <w:rsid w:val="62294C9F"/>
    <w:rsid w:val="622D780A"/>
    <w:rsid w:val="622E2CF4"/>
    <w:rsid w:val="622F16D5"/>
    <w:rsid w:val="622F5ABF"/>
    <w:rsid w:val="623D0C68"/>
    <w:rsid w:val="62460F7C"/>
    <w:rsid w:val="62460FCD"/>
    <w:rsid w:val="62480FF0"/>
    <w:rsid w:val="624B14C1"/>
    <w:rsid w:val="624F0394"/>
    <w:rsid w:val="625A29D8"/>
    <w:rsid w:val="625B2CDA"/>
    <w:rsid w:val="625B47C2"/>
    <w:rsid w:val="62630C6B"/>
    <w:rsid w:val="627301E8"/>
    <w:rsid w:val="6295194F"/>
    <w:rsid w:val="6299295E"/>
    <w:rsid w:val="629A07BC"/>
    <w:rsid w:val="62A33CA7"/>
    <w:rsid w:val="62B94634"/>
    <w:rsid w:val="62BA3B2B"/>
    <w:rsid w:val="62C37511"/>
    <w:rsid w:val="62D11C3F"/>
    <w:rsid w:val="62D35D1C"/>
    <w:rsid w:val="62D67D61"/>
    <w:rsid w:val="62E157FC"/>
    <w:rsid w:val="62E81148"/>
    <w:rsid w:val="62E83A0D"/>
    <w:rsid w:val="62F76986"/>
    <w:rsid w:val="62FA3D7F"/>
    <w:rsid w:val="62FD0EF1"/>
    <w:rsid w:val="62FF21FD"/>
    <w:rsid w:val="63074CE8"/>
    <w:rsid w:val="630E6127"/>
    <w:rsid w:val="63113A6D"/>
    <w:rsid w:val="6312640E"/>
    <w:rsid w:val="631360BB"/>
    <w:rsid w:val="631C3A36"/>
    <w:rsid w:val="63212420"/>
    <w:rsid w:val="632936A9"/>
    <w:rsid w:val="632F06D8"/>
    <w:rsid w:val="63311536"/>
    <w:rsid w:val="63317698"/>
    <w:rsid w:val="63340EAE"/>
    <w:rsid w:val="63382D38"/>
    <w:rsid w:val="63443DC2"/>
    <w:rsid w:val="63463FCB"/>
    <w:rsid w:val="634B6A95"/>
    <w:rsid w:val="634F6CB9"/>
    <w:rsid w:val="635C3F25"/>
    <w:rsid w:val="635E6984"/>
    <w:rsid w:val="63615D3E"/>
    <w:rsid w:val="6367139B"/>
    <w:rsid w:val="63683422"/>
    <w:rsid w:val="636C62BA"/>
    <w:rsid w:val="63821D61"/>
    <w:rsid w:val="63827E36"/>
    <w:rsid w:val="63842477"/>
    <w:rsid w:val="638823F9"/>
    <w:rsid w:val="638B04D2"/>
    <w:rsid w:val="639A118D"/>
    <w:rsid w:val="639E75EE"/>
    <w:rsid w:val="63A85CD1"/>
    <w:rsid w:val="63AB2A39"/>
    <w:rsid w:val="63B02C42"/>
    <w:rsid w:val="63B51B9D"/>
    <w:rsid w:val="63C51AD9"/>
    <w:rsid w:val="63C54411"/>
    <w:rsid w:val="63C733FE"/>
    <w:rsid w:val="63CD27C8"/>
    <w:rsid w:val="63CD4C2D"/>
    <w:rsid w:val="63CF2629"/>
    <w:rsid w:val="63D40E51"/>
    <w:rsid w:val="63D85FCA"/>
    <w:rsid w:val="63E263F4"/>
    <w:rsid w:val="63E418C9"/>
    <w:rsid w:val="63FB6EC6"/>
    <w:rsid w:val="63FD7654"/>
    <w:rsid w:val="64003858"/>
    <w:rsid w:val="640C2BB6"/>
    <w:rsid w:val="6411454E"/>
    <w:rsid w:val="641924CC"/>
    <w:rsid w:val="641D00EE"/>
    <w:rsid w:val="643F3FFC"/>
    <w:rsid w:val="644A69BC"/>
    <w:rsid w:val="644C372C"/>
    <w:rsid w:val="645B5DC0"/>
    <w:rsid w:val="645D3A6B"/>
    <w:rsid w:val="6468643C"/>
    <w:rsid w:val="646A06E2"/>
    <w:rsid w:val="646A37FD"/>
    <w:rsid w:val="646C4EF1"/>
    <w:rsid w:val="646C4FB8"/>
    <w:rsid w:val="64706C6F"/>
    <w:rsid w:val="6471159B"/>
    <w:rsid w:val="647335AC"/>
    <w:rsid w:val="6477482F"/>
    <w:rsid w:val="64814078"/>
    <w:rsid w:val="64884865"/>
    <w:rsid w:val="648B777B"/>
    <w:rsid w:val="64937D17"/>
    <w:rsid w:val="6494650D"/>
    <w:rsid w:val="64984C13"/>
    <w:rsid w:val="649A6134"/>
    <w:rsid w:val="649D2569"/>
    <w:rsid w:val="64A157DA"/>
    <w:rsid w:val="64A32650"/>
    <w:rsid w:val="64A51362"/>
    <w:rsid w:val="64A55A03"/>
    <w:rsid w:val="64A62D1B"/>
    <w:rsid w:val="64AD4200"/>
    <w:rsid w:val="64AD7A1B"/>
    <w:rsid w:val="64AF45FD"/>
    <w:rsid w:val="64B453B1"/>
    <w:rsid w:val="64BE5702"/>
    <w:rsid w:val="64C16289"/>
    <w:rsid w:val="64CF05E4"/>
    <w:rsid w:val="64D93F02"/>
    <w:rsid w:val="64E5543E"/>
    <w:rsid w:val="64E76F6D"/>
    <w:rsid w:val="64EA4517"/>
    <w:rsid w:val="64FC561C"/>
    <w:rsid w:val="64FE0E31"/>
    <w:rsid w:val="650B4189"/>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070C"/>
    <w:rsid w:val="655754CB"/>
    <w:rsid w:val="655E2D72"/>
    <w:rsid w:val="656171FC"/>
    <w:rsid w:val="65635CAF"/>
    <w:rsid w:val="65636611"/>
    <w:rsid w:val="656E4951"/>
    <w:rsid w:val="656F1A01"/>
    <w:rsid w:val="6570700F"/>
    <w:rsid w:val="6574303E"/>
    <w:rsid w:val="657F0CE6"/>
    <w:rsid w:val="65833C4F"/>
    <w:rsid w:val="658B37B6"/>
    <w:rsid w:val="6590595E"/>
    <w:rsid w:val="65972789"/>
    <w:rsid w:val="659C17EE"/>
    <w:rsid w:val="65A507BB"/>
    <w:rsid w:val="65A65E7D"/>
    <w:rsid w:val="65AB056C"/>
    <w:rsid w:val="65BC6E17"/>
    <w:rsid w:val="65BD3777"/>
    <w:rsid w:val="65BE5ECC"/>
    <w:rsid w:val="65CA27E1"/>
    <w:rsid w:val="65CB53A1"/>
    <w:rsid w:val="65CE2473"/>
    <w:rsid w:val="65D64BB3"/>
    <w:rsid w:val="65D70270"/>
    <w:rsid w:val="65E91B08"/>
    <w:rsid w:val="65F5725F"/>
    <w:rsid w:val="66032E7B"/>
    <w:rsid w:val="66053581"/>
    <w:rsid w:val="660A19B0"/>
    <w:rsid w:val="661026AA"/>
    <w:rsid w:val="661635F6"/>
    <w:rsid w:val="6618788F"/>
    <w:rsid w:val="661D3F49"/>
    <w:rsid w:val="66213A5C"/>
    <w:rsid w:val="6624683A"/>
    <w:rsid w:val="662D2EA4"/>
    <w:rsid w:val="662F2BB7"/>
    <w:rsid w:val="6631571B"/>
    <w:rsid w:val="663D054E"/>
    <w:rsid w:val="66460692"/>
    <w:rsid w:val="6658158E"/>
    <w:rsid w:val="66631FDD"/>
    <w:rsid w:val="666922D7"/>
    <w:rsid w:val="66727620"/>
    <w:rsid w:val="66763EED"/>
    <w:rsid w:val="667930F9"/>
    <w:rsid w:val="6679372B"/>
    <w:rsid w:val="667B3C56"/>
    <w:rsid w:val="667C2D1A"/>
    <w:rsid w:val="667D102D"/>
    <w:rsid w:val="66953491"/>
    <w:rsid w:val="66980BF6"/>
    <w:rsid w:val="66A56CDB"/>
    <w:rsid w:val="66AD65FC"/>
    <w:rsid w:val="66B06ACA"/>
    <w:rsid w:val="66B81454"/>
    <w:rsid w:val="66BE1292"/>
    <w:rsid w:val="66BF76F1"/>
    <w:rsid w:val="66D553C4"/>
    <w:rsid w:val="66D61A8D"/>
    <w:rsid w:val="66DA3497"/>
    <w:rsid w:val="66DC5BF8"/>
    <w:rsid w:val="66DE3D71"/>
    <w:rsid w:val="66E173F9"/>
    <w:rsid w:val="66E17F7B"/>
    <w:rsid w:val="66E3226C"/>
    <w:rsid w:val="66E611A7"/>
    <w:rsid w:val="66E80EB0"/>
    <w:rsid w:val="66EC5E36"/>
    <w:rsid w:val="66F569E1"/>
    <w:rsid w:val="66F76034"/>
    <w:rsid w:val="67066C06"/>
    <w:rsid w:val="670E7B80"/>
    <w:rsid w:val="6713591F"/>
    <w:rsid w:val="67181932"/>
    <w:rsid w:val="6724094D"/>
    <w:rsid w:val="6726232E"/>
    <w:rsid w:val="672A4901"/>
    <w:rsid w:val="672B6693"/>
    <w:rsid w:val="67331724"/>
    <w:rsid w:val="673360E2"/>
    <w:rsid w:val="67346319"/>
    <w:rsid w:val="67441B08"/>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A175F7"/>
    <w:rsid w:val="67A67078"/>
    <w:rsid w:val="67A9539E"/>
    <w:rsid w:val="67AC341B"/>
    <w:rsid w:val="67B10069"/>
    <w:rsid w:val="67B42C3D"/>
    <w:rsid w:val="67B861F9"/>
    <w:rsid w:val="67C149C0"/>
    <w:rsid w:val="67C3428F"/>
    <w:rsid w:val="67C7427D"/>
    <w:rsid w:val="67CA7967"/>
    <w:rsid w:val="67CC38C5"/>
    <w:rsid w:val="67D9695E"/>
    <w:rsid w:val="67DC5CEA"/>
    <w:rsid w:val="67DE4729"/>
    <w:rsid w:val="67DF18A0"/>
    <w:rsid w:val="67E024C8"/>
    <w:rsid w:val="67E35B0A"/>
    <w:rsid w:val="67E75B2A"/>
    <w:rsid w:val="67F0511C"/>
    <w:rsid w:val="67F5522D"/>
    <w:rsid w:val="67F73BC6"/>
    <w:rsid w:val="68061734"/>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51915"/>
    <w:rsid w:val="68670AE1"/>
    <w:rsid w:val="68733F18"/>
    <w:rsid w:val="687442EE"/>
    <w:rsid w:val="68772A56"/>
    <w:rsid w:val="687E1768"/>
    <w:rsid w:val="68800A02"/>
    <w:rsid w:val="688300A8"/>
    <w:rsid w:val="689B3E14"/>
    <w:rsid w:val="689B7663"/>
    <w:rsid w:val="689C5C1D"/>
    <w:rsid w:val="689D6F4C"/>
    <w:rsid w:val="689F2FA0"/>
    <w:rsid w:val="68A02CE9"/>
    <w:rsid w:val="68A036C8"/>
    <w:rsid w:val="68A41350"/>
    <w:rsid w:val="68AD26AA"/>
    <w:rsid w:val="68AE2B22"/>
    <w:rsid w:val="68BC14B0"/>
    <w:rsid w:val="68BC512A"/>
    <w:rsid w:val="68BF0078"/>
    <w:rsid w:val="68C20D16"/>
    <w:rsid w:val="68DD2425"/>
    <w:rsid w:val="68DD619B"/>
    <w:rsid w:val="68EC3A15"/>
    <w:rsid w:val="68ED593C"/>
    <w:rsid w:val="68ED69A7"/>
    <w:rsid w:val="68FD5593"/>
    <w:rsid w:val="69073414"/>
    <w:rsid w:val="690C4501"/>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51205B"/>
    <w:rsid w:val="6953741D"/>
    <w:rsid w:val="69552B47"/>
    <w:rsid w:val="6956014F"/>
    <w:rsid w:val="69630690"/>
    <w:rsid w:val="69663A8A"/>
    <w:rsid w:val="696F3842"/>
    <w:rsid w:val="69731101"/>
    <w:rsid w:val="6974083C"/>
    <w:rsid w:val="697B00EB"/>
    <w:rsid w:val="697D087B"/>
    <w:rsid w:val="697D2094"/>
    <w:rsid w:val="69807B1E"/>
    <w:rsid w:val="69A71B52"/>
    <w:rsid w:val="69A7770D"/>
    <w:rsid w:val="69A966F8"/>
    <w:rsid w:val="69AC0B64"/>
    <w:rsid w:val="69B27491"/>
    <w:rsid w:val="69B27C94"/>
    <w:rsid w:val="69BA2288"/>
    <w:rsid w:val="69BB7CE2"/>
    <w:rsid w:val="69D2134C"/>
    <w:rsid w:val="69D537ED"/>
    <w:rsid w:val="69DC3AC1"/>
    <w:rsid w:val="69DE26C5"/>
    <w:rsid w:val="69E6402E"/>
    <w:rsid w:val="69E673F8"/>
    <w:rsid w:val="69E828BE"/>
    <w:rsid w:val="69EA6C64"/>
    <w:rsid w:val="69EB2120"/>
    <w:rsid w:val="69EF180F"/>
    <w:rsid w:val="69F00B35"/>
    <w:rsid w:val="69F10C55"/>
    <w:rsid w:val="69F224F8"/>
    <w:rsid w:val="69F3045E"/>
    <w:rsid w:val="69F3790F"/>
    <w:rsid w:val="6A036F5F"/>
    <w:rsid w:val="6A12415B"/>
    <w:rsid w:val="6A152CC8"/>
    <w:rsid w:val="6A172663"/>
    <w:rsid w:val="6A1A2639"/>
    <w:rsid w:val="6A1D05D4"/>
    <w:rsid w:val="6A1D765F"/>
    <w:rsid w:val="6A245089"/>
    <w:rsid w:val="6A25601C"/>
    <w:rsid w:val="6A2750C5"/>
    <w:rsid w:val="6A290AA5"/>
    <w:rsid w:val="6A2A46CE"/>
    <w:rsid w:val="6A2F521E"/>
    <w:rsid w:val="6A3A1167"/>
    <w:rsid w:val="6A3D030C"/>
    <w:rsid w:val="6A3F4FDB"/>
    <w:rsid w:val="6A4E0E18"/>
    <w:rsid w:val="6A52329D"/>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AF3726"/>
    <w:rsid w:val="6AB45A03"/>
    <w:rsid w:val="6AB67F39"/>
    <w:rsid w:val="6ABE4FFD"/>
    <w:rsid w:val="6AD909E0"/>
    <w:rsid w:val="6ADC49EF"/>
    <w:rsid w:val="6ADD4FD8"/>
    <w:rsid w:val="6ADD71F3"/>
    <w:rsid w:val="6AE26C27"/>
    <w:rsid w:val="6AED013C"/>
    <w:rsid w:val="6AEE59AB"/>
    <w:rsid w:val="6AF159FF"/>
    <w:rsid w:val="6AF57F3A"/>
    <w:rsid w:val="6AF63F29"/>
    <w:rsid w:val="6AFB7DF3"/>
    <w:rsid w:val="6AFC7DEB"/>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33413"/>
    <w:rsid w:val="6B6C560D"/>
    <w:rsid w:val="6B705E52"/>
    <w:rsid w:val="6B735BFD"/>
    <w:rsid w:val="6B785D05"/>
    <w:rsid w:val="6B7F7BD7"/>
    <w:rsid w:val="6B846AF2"/>
    <w:rsid w:val="6B95396B"/>
    <w:rsid w:val="6B9A31AE"/>
    <w:rsid w:val="6BAC0EF7"/>
    <w:rsid w:val="6BBB00B1"/>
    <w:rsid w:val="6BBD3E9D"/>
    <w:rsid w:val="6BC03721"/>
    <w:rsid w:val="6BC43438"/>
    <w:rsid w:val="6BC51A97"/>
    <w:rsid w:val="6BCC01D5"/>
    <w:rsid w:val="6BCF2DCA"/>
    <w:rsid w:val="6BD612D8"/>
    <w:rsid w:val="6BD6588C"/>
    <w:rsid w:val="6BDD0493"/>
    <w:rsid w:val="6BDE54AC"/>
    <w:rsid w:val="6BE068F6"/>
    <w:rsid w:val="6BE072B5"/>
    <w:rsid w:val="6BEC52EB"/>
    <w:rsid w:val="6BF229CE"/>
    <w:rsid w:val="6BF25C39"/>
    <w:rsid w:val="6C017B1C"/>
    <w:rsid w:val="6C06150E"/>
    <w:rsid w:val="6C155F31"/>
    <w:rsid w:val="6C206E21"/>
    <w:rsid w:val="6C25194D"/>
    <w:rsid w:val="6C263A06"/>
    <w:rsid w:val="6C337BE8"/>
    <w:rsid w:val="6C386C47"/>
    <w:rsid w:val="6C3A624E"/>
    <w:rsid w:val="6C3F4795"/>
    <w:rsid w:val="6C431738"/>
    <w:rsid w:val="6C442E2D"/>
    <w:rsid w:val="6C45539A"/>
    <w:rsid w:val="6C4B106D"/>
    <w:rsid w:val="6C505966"/>
    <w:rsid w:val="6C5D04BB"/>
    <w:rsid w:val="6C666C3C"/>
    <w:rsid w:val="6C6833E1"/>
    <w:rsid w:val="6C756009"/>
    <w:rsid w:val="6C7B5CBF"/>
    <w:rsid w:val="6C831974"/>
    <w:rsid w:val="6C882F2E"/>
    <w:rsid w:val="6C8E4315"/>
    <w:rsid w:val="6C95615F"/>
    <w:rsid w:val="6CA94419"/>
    <w:rsid w:val="6CB242A2"/>
    <w:rsid w:val="6CC818AD"/>
    <w:rsid w:val="6CD944B7"/>
    <w:rsid w:val="6CE0612A"/>
    <w:rsid w:val="6CE269D3"/>
    <w:rsid w:val="6CEC448A"/>
    <w:rsid w:val="6CED284E"/>
    <w:rsid w:val="6CED3DB2"/>
    <w:rsid w:val="6CEF4D2C"/>
    <w:rsid w:val="6CF04EB7"/>
    <w:rsid w:val="6CF17872"/>
    <w:rsid w:val="6CF76712"/>
    <w:rsid w:val="6CFD23D1"/>
    <w:rsid w:val="6D033EFD"/>
    <w:rsid w:val="6D0652BF"/>
    <w:rsid w:val="6D0A7734"/>
    <w:rsid w:val="6D0B0E35"/>
    <w:rsid w:val="6D0D6D19"/>
    <w:rsid w:val="6D273B17"/>
    <w:rsid w:val="6D274676"/>
    <w:rsid w:val="6D2F4B50"/>
    <w:rsid w:val="6D385ED1"/>
    <w:rsid w:val="6D3967DF"/>
    <w:rsid w:val="6D3B5F83"/>
    <w:rsid w:val="6D3C14B2"/>
    <w:rsid w:val="6D436625"/>
    <w:rsid w:val="6D4720E6"/>
    <w:rsid w:val="6D4A7F79"/>
    <w:rsid w:val="6D4B7436"/>
    <w:rsid w:val="6D4E5A3F"/>
    <w:rsid w:val="6D5E64E8"/>
    <w:rsid w:val="6D652ED0"/>
    <w:rsid w:val="6D662717"/>
    <w:rsid w:val="6D663299"/>
    <w:rsid w:val="6D770FC8"/>
    <w:rsid w:val="6D7D5646"/>
    <w:rsid w:val="6D816186"/>
    <w:rsid w:val="6D8F5451"/>
    <w:rsid w:val="6D90338E"/>
    <w:rsid w:val="6D904B49"/>
    <w:rsid w:val="6D925740"/>
    <w:rsid w:val="6D9D3EE4"/>
    <w:rsid w:val="6D9E7C69"/>
    <w:rsid w:val="6DA71839"/>
    <w:rsid w:val="6DA84071"/>
    <w:rsid w:val="6DB20233"/>
    <w:rsid w:val="6DB81D13"/>
    <w:rsid w:val="6DC54D30"/>
    <w:rsid w:val="6DC65806"/>
    <w:rsid w:val="6DCA2F8B"/>
    <w:rsid w:val="6DCC64D9"/>
    <w:rsid w:val="6DDF0294"/>
    <w:rsid w:val="6DE9618F"/>
    <w:rsid w:val="6DED02CD"/>
    <w:rsid w:val="6DF07F1A"/>
    <w:rsid w:val="6DF6740D"/>
    <w:rsid w:val="6DF77EC8"/>
    <w:rsid w:val="6DF92BCB"/>
    <w:rsid w:val="6DFB06CC"/>
    <w:rsid w:val="6E035B81"/>
    <w:rsid w:val="6E0461AC"/>
    <w:rsid w:val="6E0F0D37"/>
    <w:rsid w:val="6E0F320E"/>
    <w:rsid w:val="6E114B44"/>
    <w:rsid w:val="6E131686"/>
    <w:rsid w:val="6E1B4CD0"/>
    <w:rsid w:val="6E1C2489"/>
    <w:rsid w:val="6E225993"/>
    <w:rsid w:val="6E2A0DD8"/>
    <w:rsid w:val="6E32138A"/>
    <w:rsid w:val="6E35742E"/>
    <w:rsid w:val="6E3614F1"/>
    <w:rsid w:val="6E376A3A"/>
    <w:rsid w:val="6E3D7B41"/>
    <w:rsid w:val="6E3E181B"/>
    <w:rsid w:val="6E3F1C0F"/>
    <w:rsid w:val="6E484191"/>
    <w:rsid w:val="6E4E0EC4"/>
    <w:rsid w:val="6E561494"/>
    <w:rsid w:val="6E567CD0"/>
    <w:rsid w:val="6E633CB5"/>
    <w:rsid w:val="6E651C83"/>
    <w:rsid w:val="6E7106EF"/>
    <w:rsid w:val="6E72570E"/>
    <w:rsid w:val="6E785A45"/>
    <w:rsid w:val="6E796FC0"/>
    <w:rsid w:val="6E8F6FAF"/>
    <w:rsid w:val="6E917497"/>
    <w:rsid w:val="6E95060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DE126C"/>
    <w:rsid w:val="6EE939F2"/>
    <w:rsid w:val="6EF104D0"/>
    <w:rsid w:val="6F021829"/>
    <w:rsid w:val="6F08724A"/>
    <w:rsid w:val="6F14289F"/>
    <w:rsid w:val="6F162C84"/>
    <w:rsid w:val="6F28474F"/>
    <w:rsid w:val="6F2937E7"/>
    <w:rsid w:val="6F350882"/>
    <w:rsid w:val="6F35635E"/>
    <w:rsid w:val="6F3713E9"/>
    <w:rsid w:val="6F384951"/>
    <w:rsid w:val="6F4876AF"/>
    <w:rsid w:val="6F537FC0"/>
    <w:rsid w:val="6F607895"/>
    <w:rsid w:val="6F61040C"/>
    <w:rsid w:val="6F6776E1"/>
    <w:rsid w:val="6F702CF5"/>
    <w:rsid w:val="6F7A0C79"/>
    <w:rsid w:val="6F7E1B78"/>
    <w:rsid w:val="6F7E4794"/>
    <w:rsid w:val="6F9C5D71"/>
    <w:rsid w:val="6FA3781E"/>
    <w:rsid w:val="6FA9586A"/>
    <w:rsid w:val="6FAC61CF"/>
    <w:rsid w:val="6FAF5C06"/>
    <w:rsid w:val="6FB32C37"/>
    <w:rsid w:val="6FB415FB"/>
    <w:rsid w:val="6FB80EE8"/>
    <w:rsid w:val="6FC0781E"/>
    <w:rsid w:val="6FD36624"/>
    <w:rsid w:val="6FE53444"/>
    <w:rsid w:val="6FE76FE3"/>
    <w:rsid w:val="6FF1528E"/>
    <w:rsid w:val="6FF561D1"/>
    <w:rsid w:val="6FF765FA"/>
    <w:rsid w:val="6FF92039"/>
    <w:rsid w:val="70054794"/>
    <w:rsid w:val="700C0460"/>
    <w:rsid w:val="701458A7"/>
    <w:rsid w:val="70152C7C"/>
    <w:rsid w:val="70154790"/>
    <w:rsid w:val="70170F2B"/>
    <w:rsid w:val="701830B7"/>
    <w:rsid w:val="701E2FAB"/>
    <w:rsid w:val="70206C25"/>
    <w:rsid w:val="702267D2"/>
    <w:rsid w:val="70291A05"/>
    <w:rsid w:val="70370653"/>
    <w:rsid w:val="70385F59"/>
    <w:rsid w:val="70387A8F"/>
    <w:rsid w:val="703E443C"/>
    <w:rsid w:val="70494AF1"/>
    <w:rsid w:val="704A6916"/>
    <w:rsid w:val="704B11CB"/>
    <w:rsid w:val="70555B90"/>
    <w:rsid w:val="70680AC8"/>
    <w:rsid w:val="70684400"/>
    <w:rsid w:val="706D51B8"/>
    <w:rsid w:val="70712877"/>
    <w:rsid w:val="70767F2C"/>
    <w:rsid w:val="70785A86"/>
    <w:rsid w:val="707E62BB"/>
    <w:rsid w:val="707F38EA"/>
    <w:rsid w:val="708A453A"/>
    <w:rsid w:val="70910C43"/>
    <w:rsid w:val="70992BBC"/>
    <w:rsid w:val="709E4E34"/>
    <w:rsid w:val="709E640C"/>
    <w:rsid w:val="70A106DA"/>
    <w:rsid w:val="70A156F4"/>
    <w:rsid w:val="70AC0E63"/>
    <w:rsid w:val="70AD5CCA"/>
    <w:rsid w:val="70AF55CD"/>
    <w:rsid w:val="70B56633"/>
    <w:rsid w:val="70BB0D3E"/>
    <w:rsid w:val="70BE2E27"/>
    <w:rsid w:val="70C52734"/>
    <w:rsid w:val="70C84253"/>
    <w:rsid w:val="70CA126A"/>
    <w:rsid w:val="70CA2FFF"/>
    <w:rsid w:val="70CB6779"/>
    <w:rsid w:val="70CE384D"/>
    <w:rsid w:val="70CF3906"/>
    <w:rsid w:val="70D35B8E"/>
    <w:rsid w:val="70D91094"/>
    <w:rsid w:val="70DB76EF"/>
    <w:rsid w:val="70DC3A81"/>
    <w:rsid w:val="70E176A8"/>
    <w:rsid w:val="70E47264"/>
    <w:rsid w:val="70F04773"/>
    <w:rsid w:val="710524E2"/>
    <w:rsid w:val="710B03C6"/>
    <w:rsid w:val="7110526F"/>
    <w:rsid w:val="711604AB"/>
    <w:rsid w:val="712762EB"/>
    <w:rsid w:val="712D2ADB"/>
    <w:rsid w:val="712D4159"/>
    <w:rsid w:val="71334792"/>
    <w:rsid w:val="71346CB6"/>
    <w:rsid w:val="7136388E"/>
    <w:rsid w:val="714200B6"/>
    <w:rsid w:val="71431855"/>
    <w:rsid w:val="7143374A"/>
    <w:rsid w:val="7148649A"/>
    <w:rsid w:val="715117C4"/>
    <w:rsid w:val="71512715"/>
    <w:rsid w:val="71536701"/>
    <w:rsid w:val="71554E10"/>
    <w:rsid w:val="715D365A"/>
    <w:rsid w:val="715D7038"/>
    <w:rsid w:val="71636BC2"/>
    <w:rsid w:val="71676D13"/>
    <w:rsid w:val="716A160C"/>
    <w:rsid w:val="716B5F96"/>
    <w:rsid w:val="716C65C5"/>
    <w:rsid w:val="716D67F7"/>
    <w:rsid w:val="71747EDF"/>
    <w:rsid w:val="7179730A"/>
    <w:rsid w:val="7183292B"/>
    <w:rsid w:val="71890883"/>
    <w:rsid w:val="718B3A9F"/>
    <w:rsid w:val="71936186"/>
    <w:rsid w:val="71A30836"/>
    <w:rsid w:val="71A535F8"/>
    <w:rsid w:val="71A84EAE"/>
    <w:rsid w:val="71AC109B"/>
    <w:rsid w:val="71AE2BD5"/>
    <w:rsid w:val="71AF2F66"/>
    <w:rsid w:val="71B13D7E"/>
    <w:rsid w:val="71B31BCF"/>
    <w:rsid w:val="71C061A0"/>
    <w:rsid w:val="71C2301C"/>
    <w:rsid w:val="71C45E90"/>
    <w:rsid w:val="71C96C07"/>
    <w:rsid w:val="71CC00E9"/>
    <w:rsid w:val="71CD28DD"/>
    <w:rsid w:val="71D00811"/>
    <w:rsid w:val="71D774C5"/>
    <w:rsid w:val="71D8692F"/>
    <w:rsid w:val="71DA7C5F"/>
    <w:rsid w:val="71DE4C74"/>
    <w:rsid w:val="71E3397B"/>
    <w:rsid w:val="71E346E4"/>
    <w:rsid w:val="71E56A62"/>
    <w:rsid w:val="71E767FC"/>
    <w:rsid w:val="71EF5D41"/>
    <w:rsid w:val="71F26295"/>
    <w:rsid w:val="71FC70DF"/>
    <w:rsid w:val="72004D9B"/>
    <w:rsid w:val="72056436"/>
    <w:rsid w:val="7208316E"/>
    <w:rsid w:val="720979A0"/>
    <w:rsid w:val="720F633E"/>
    <w:rsid w:val="72130B93"/>
    <w:rsid w:val="721C688B"/>
    <w:rsid w:val="72200AF0"/>
    <w:rsid w:val="722E7DFE"/>
    <w:rsid w:val="7235246C"/>
    <w:rsid w:val="723749D7"/>
    <w:rsid w:val="724D4B1D"/>
    <w:rsid w:val="724E54F1"/>
    <w:rsid w:val="7254202A"/>
    <w:rsid w:val="72632A3F"/>
    <w:rsid w:val="727334E4"/>
    <w:rsid w:val="72756082"/>
    <w:rsid w:val="72772DDB"/>
    <w:rsid w:val="72796D22"/>
    <w:rsid w:val="727B2E39"/>
    <w:rsid w:val="72827328"/>
    <w:rsid w:val="728B2CA4"/>
    <w:rsid w:val="728B509F"/>
    <w:rsid w:val="728F0A31"/>
    <w:rsid w:val="72911AEA"/>
    <w:rsid w:val="72914280"/>
    <w:rsid w:val="72957254"/>
    <w:rsid w:val="729A297B"/>
    <w:rsid w:val="72A310CE"/>
    <w:rsid w:val="72A60BAC"/>
    <w:rsid w:val="72AE4C0E"/>
    <w:rsid w:val="72B14D56"/>
    <w:rsid w:val="72B23B41"/>
    <w:rsid w:val="72B751B8"/>
    <w:rsid w:val="72C221EC"/>
    <w:rsid w:val="72CE3184"/>
    <w:rsid w:val="72CE7D06"/>
    <w:rsid w:val="72CF40C2"/>
    <w:rsid w:val="72D456A5"/>
    <w:rsid w:val="72E70D52"/>
    <w:rsid w:val="72EA6B66"/>
    <w:rsid w:val="72FB32E0"/>
    <w:rsid w:val="72FB39EE"/>
    <w:rsid w:val="7302733B"/>
    <w:rsid w:val="73036270"/>
    <w:rsid w:val="731649D2"/>
    <w:rsid w:val="731C28E7"/>
    <w:rsid w:val="731C75AE"/>
    <w:rsid w:val="731F4233"/>
    <w:rsid w:val="7326097A"/>
    <w:rsid w:val="732A4A9B"/>
    <w:rsid w:val="733202B6"/>
    <w:rsid w:val="73343997"/>
    <w:rsid w:val="73370B0A"/>
    <w:rsid w:val="733C723A"/>
    <w:rsid w:val="733C7C6A"/>
    <w:rsid w:val="73510529"/>
    <w:rsid w:val="73574996"/>
    <w:rsid w:val="735C705A"/>
    <w:rsid w:val="736411CC"/>
    <w:rsid w:val="73690216"/>
    <w:rsid w:val="736A02D8"/>
    <w:rsid w:val="736C1945"/>
    <w:rsid w:val="737443F9"/>
    <w:rsid w:val="73814AA3"/>
    <w:rsid w:val="73893467"/>
    <w:rsid w:val="738A36E1"/>
    <w:rsid w:val="73912A81"/>
    <w:rsid w:val="73970334"/>
    <w:rsid w:val="739B1EFF"/>
    <w:rsid w:val="73A16D22"/>
    <w:rsid w:val="73B1400F"/>
    <w:rsid w:val="73B7366A"/>
    <w:rsid w:val="73BA064C"/>
    <w:rsid w:val="73BB3C6E"/>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57C35"/>
    <w:rsid w:val="742A0965"/>
    <w:rsid w:val="742D019C"/>
    <w:rsid w:val="742D6DB6"/>
    <w:rsid w:val="742E74D7"/>
    <w:rsid w:val="744642D9"/>
    <w:rsid w:val="744E65E4"/>
    <w:rsid w:val="74522D94"/>
    <w:rsid w:val="746B086B"/>
    <w:rsid w:val="746C430C"/>
    <w:rsid w:val="747338E6"/>
    <w:rsid w:val="74775754"/>
    <w:rsid w:val="748D2E97"/>
    <w:rsid w:val="749D5800"/>
    <w:rsid w:val="74A73312"/>
    <w:rsid w:val="74AE1D6E"/>
    <w:rsid w:val="74B06962"/>
    <w:rsid w:val="74B32215"/>
    <w:rsid w:val="74BC7516"/>
    <w:rsid w:val="74C0607C"/>
    <w:rsid w:val="74C264BE"/>
    <w:rsid w:val="74C46840"/>
    <w:rsid w:val="74CC2FE0"/>
    <w:rsid w:val="74D46870"/>
    <w:rsid w:val="74D575AA"/>
    <w:rsid w:val="74D71DDE"/>
    <w:rsid w:val="74DA7956"/>
    <w:rsid w:val="74E11F86"/>
    <w:rsid w:val="74E93FD0"/>
    <w:rsid w:val="74FB509B"/>
    <w:rsid w:val="74FB6035"/>
    <w:rsid w:val="7502618E"/>
    <w:rsid w:val="750934A8"/>
    <w:rsid w:val="750A15E4"/>
    <w:rsid w:val="750C76FA"/>
    <w:rsid w:val="751C6D8A"/>
    <w:rsid w:val="752B3381"/>
    <w:rsid w:val="75325694"/>
    <w:rsid w:val="75376E15"/>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9F1A50"/>
    <w:rsid w:val="75A53BC6"/>
    <w:rsid w:val="75AA180C"/>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93B4A"/>
    <w:rsid w:val="765F0FBA"/>
    <w:rsid w:val="766314AA"/>
    <w:rsid w:val="76674D6A"/>
    <w:rsid w:val="76690632"/>
    <w:rsid w:val="767469E2"/>
    <w:rsid w:val="76775F0B"/>
    <w:rsid w:val="767E2DAC"/>
    <w:rsid w:val="76894819"/>
    <w:rsid w:val="768D57E3"/>
    <w:rsid w:val="76932317"/>
    <w:rsid w:val="76A53B61"/>
    <w:rsid w:val="76A56898"/>
    <w:rsid w:val="76A652D8"/>
    <w:rsid w:val="76AC087B"/>
    <w:rsid w:val="76B153BA"/>
    <w:rsid w:val="76BE7B18"/>
    <w:rsid w:val="76C72CA0"/>
    <w:rsid w:val="76CB2A8A"/>
    <w:rsid w:val="76D36D32"/>
    <w:rsid w:val="76DD3793"/>
    <w:rsid w:val="76ED0EF4"/>
    <w:rsid w:val="76F2295F"/>
    <w:rsid w:val="76F50A9F"/>
    <w:rsid w:val="76F56F51"/>
    <w:rsid w:val="76FD2D1D"/>
    <w:rsid w:val="7701273D"/>
    <w:rsid w:val="77097FC6"/>
    <w:rsid w:val="770F088C"/>
    <w:rsid w:val="77187F65"/>
    <w:rsid w:val="77284F7D"/>
    <w:rsid w:val="7729766A"/>
    <w:rsid w:val="772D35A6"/>
    <w:rsid w:val="772D3786"/>
    <w:rsid w:val="773A62B8"/>
    <w:rsid w:val="773E64A6"/>
    <w:rsid w:val="77422DC5"/>
    <w:rsid w:val="7743723B"/>
    <w:rsid w:val="77490C6C"/>
    <w:rsid w:val="774B3934"/>
    <w:rsid w:val="774D47BD"/>
    <w:rsid w:val="775352E9"/>
    <w:rsid w:val="77551F00"/>
    <w:rsid w:val="77606FF1"/>
    <w:rsid w:val="77650E66"/>
    <w:rsid w:val="776A53C0"/>
    <w:rsid w:val="77721E49"/>
    <w:rsid w:val="777B5F51"/>
    <w:rsid w:val="777D53E6"/>
    <w:rsid w:val="777E0553"/>
    <w:rsid w:val="777E1FE2"/>
    <w:rsid w:val="778067C2"/>
    <w:rsid w:val="77847A56"/>
    <w:rsid w:val="778F0D7D"/>
    <w:rsid w:val="778F49BD"/>
    <w:rsid w:val="77966F4C"/>
    <w:rsid w:val="779D7890"/>
    <w:rsid w:val="77A31525"/>
    <w:rsid w:val="77A75021"/>
    <w:rsid w:val="77A95914"/>
    <w:rsid w:val="77B4796D"/>
    <w:rsid w:val="77B8689C"/>
    <w:rsid w:val="77BD5A24"/>
    <w:rsid w:val="77C2510C"/>
    <w:rsid w:val="77C833A2"/>
    <w:rsid w:val="77D21E05"/>
    <w:rsid w:val="77D47EF6"/>
    <w:rsid w:val="77E568E3"/>
    <w:rsid w:val="77EE19D2"/>
    <w:rsid w:val="77EE65D7"/>
    <w:rsid w:val="77F62779"/>
    <w:rsid w:val="78036043"/>
    <w:rsid w:val="7813374F"/>
    <w:rsid w:val="781838FF"/>
    <w:rsid w:val="781B3886"/>
    <w:rsid w:val="782A738E"/>
    <w:rsid w:val="78306028"/>
    <w:rsid w:val="78316382"/>
    <w:rsid w:val="78355626"/>
    <w:rsid w:val="78375EBD"/>
    <w:rsid w:val="784151EC"/>
    <w:rsid w:val="784563AF"/>
    <w:rsid w:val="7849196F"/>
    <w:rsid w:val="784C2B22"/>
    <w:rsid w:val="78591903"/>
    <w:rsid w:val="787659AD"/>
    <w:rsid w:val="7888219B"/>
    <w:rsid w:val="78887070"/>
    <w:rsid w:val="788908C8"/>
    <w:rsid w:val="78993306"/>
    <w:rsid w:val="78A561F3"/>
    <w:rsid w:val="78A953B7"/>
    <w:rsid w:val="78AB3452"/>
    <w:rsid w:val="78B0117B"/>
    <w:rsid w:val="78B91C9F"/>
    <w:rsid w:val="78BC539D"/>
    <w:rsid w:val="78C134B0"/>
    <w:rsid w:val="78C52CB5"/>
    <w:rsid w:val="78C64CC0"/>
    <w:rsid w:val="78C67D14"/>
    <w:rsid w:val="78CD3535"/>
    <w:rsid w:val="78D6474D"/>
    <w:rsid w:val="78D97F0E"/>
    <w:rsid w:val="78DA009A"/>
    <w:rsid w:val="78DC2FA9"/>
    <w:rsid w:val="78DD4939"/>
    <w:rsid w:val="78E062D1"/>
    <w:rsid w:val="78F40C87"/>
    <w:rsid w:val="78F53AD7"/>
    <w:rsid w:val="78F66B5A"/>
    <w:rsid w:val="78FC7FC2"/>
    <w:rsid w:val="79010A38"/>
    <w:rsid w:val="79042DE3"/>
    <w:rsid w:val="790D0BF3"/>
    <w:rsid w:val="790D4F70"/>
    <w:rsid w:val="791474A8"/>
    <w:rsid w:val="79176206"/>
    <w:rsid w:val="79193B81"/>
    <w:rsid w:val="791C7612"/>
    <w:rsid w:val="79213934"/>
    <w:rsid w:val="79221399"/>
    <w:rsid w:val="792378FC"/>
    <w:rsid w:val="79350D11"/>
    <w:rsid w:val="79351894"/>
    <w:rsid w:val="7940572D"/>
    <w:rsid w:val="79461391"/>
    <w:rsid w:val="79474814"/>
    <w:rsid w:val="79492AA1"/>
    <w:rsid w:val="794B387C"/>
    <w:rsid w:val="794B4D74"/>
    <w:rsid w:val="79501475"/>
    <w:rsid w:val="79524043"/>
    <w:rsid w:val="795A5499"/>
    <w:rsid w:val="795B23B8"/>
    <w:rsid w:val="796B650F"/>
    <w:rsid w:val="796E35F2"/>
    <w:rsid w:val="7971290E"/>
    <w:rsid w:val="797529A9"/>
    <w:rsid w:val="79762768"/>
    <w:rsid w:val="797951A9"/>
    <w:rsid w:val="798B7390"/>
    <w:rsid w:val="7990174F"/>
    <w:rsid w:val="79A15149"/>
    <w:rsid w:val="79A37CCA"/>
    <w:rsid w:val="79A71217"/>
    <w:rsid w:val="79A71C2E"/>
    <w:rsid w:val="79A74BCA"/>
    <w:rsid w:val="79AE39E9"/>
    <w:rsid w:val="79B57356"/>
    <w:rsid w:val="79BD3E41"/>
    <w:rsid w:val="79BF2784"/>
    <w:rsid w:val="79C0597A"/>
    <w:rsid w:val="79C0749C"/>
    <w:rsid w:val="79C24EDF"/>
    <w:rsid w:val="79C66717"/>
    <w:rsid w:val="79C95AED"/>
    <w:rsid w:val="79D62785"/>
    <w:rsid w:val="79DF1EBA"/>
    <w:rsid w:val="79E12ED9"/>
    <w:rsid w:val="79E352FF"/>
    <w:rsid w:val="79E50260"/>
    <w:rsid w:val="79E9023D"/>
    <w:rsid w:val="79E92F0D"/>
    <w:rsid w:val="79ED6701"/>
    <w:rsid w:val="79EE7E8E"/>
    <w:rsid w:val="79F30A3A"/>
    <w:rsid w:val="79FB2D0B"/>
    <w:rsid w:val="7A052E17"/>
    <w:rsid w:val="7A097B67"/>
    <w:rsid w:val="7A0F1525"/>
    <w:rsid w:val="7A157806"/>
    <w:rsid w:val="7A1806BF"/>
    <w:rsid w:val="7A1A258A"/>
    <w:rsid w:val="7A262C2D"/>
    <w:rsid w:val="7A291938"/>
    <w:rsid w:val="7A3D7CC0"/>
    <w:rsid w:val="7A4006D3"/>
    <w:rsid w:val="7A4D07BA"/>
    <w:rsid w:val="7A537783"/>
    <w:rsid w:val="7A5863D3"/>
    <w:rsid w:val="7A5C5FAF"/>
    <w:rsid w:val="7A634604"/>
    <w:rsid w:val="7A64499E"/>
    <w:rsid w:val="7A6656B6"/>
    <w:rsid w:val="7A723F72"/>
    <w:rsid w:val="7A743D9C"/>
    <w:rsid w:val="7A7B2C10"/>
    <w:rsid w:val="7A7D4128"/>
    <w:rsid w:val="7A8075BA"/>
    <w:rsid w:val="7A820760"/>
    <w:rsid w:val="7A87742E"/>
    <w:rsid w:val="7A9123B7"/>
    <w:rsid w:val="7A9711EE"/>
    <w:rsid w:val="7A9A1B33"/>
    <w:rsid w:val="7A9B74B6"/>
    <w:rsid w:val="7A9C3E5C"/>
    <w:rsid w:val="7A9D1CEF"/>
    <w:rsid w:val="7AA16CBD"/>
    <w:rsid w:val="7AA5277A"/>
    <w:rsid w:val="7AA952CF"/>
    <w:rsid w:val="7AAE678B"/>
    <w:rsid w:val="7AB07C78"/>
    <w:rsid w:val="7AB514B2"/>
    <w:rsid w:val="7ACA29DF"/>
    <w:rsid w:val="7ACD2D7F"/>
    <w:rsid w:val="7AD02422"/>
    <w:rsid w:val="7AD27B42"/>
    <w:rsid w:val="7AD53EC1"/>
    <w:rsid w:val="7AD84E14"/>
    <w:rsid w:val="7ADB474B"/>
    <w:rsid w:val="7ADB7F1A"/>
    <w:rsid w:val="7AE55787"/>
    <w:rsid w:val="7AE833BC"/>
    <w:rsid w:val="7AF91DAF"/>
    <w:rsid w:val="7AF9607E"/>
    <w:rsid w:val="7B0F2E77"/>
    <w:rsid w:val="7B18546A"/>
    <w:rsid w:val="7B1B467F"/>
    <w:rsid w:val="7B1F59AA"/>
    <w:rsid w:val="7B214978"/>
    <w:rsid w:val="7B391012"/>
    <w:rsid w:val="7B4A5781"/>
    <w:rsid w:val="7B4E09BF"/>
    <w:rsid w:val="7B546C0C"/>
    <w:rsid w:val="7B603C7C"/>
    <w:rsid w:val="7B605288"/>
    <w:rsid w:val="7B65590F"/>
    <w:rsid w:val="7B6E2AB1"/>
    <w:rsid w:val="7B6F4E46"/>
    <w:rsid w:val="7B771CED"/>
    <w:rsid w:val="7B7C1A5E"/>
    <w:rsid w:val="7B841287"/>
    <w:rsid w:val="7B8F28AD"/>
    <w:rsid w:val="7B9255AC"/>
    <w:rsid w:val="7B9422CC"/>
    <w:rsid w:val="7BA178E6"/>
    <w:rsid w:val="7BA22D26"/>
    <w:rsid w:val="7BA521BC"/>
    <w:rsid w:val="7BA63294"/>
    <w:rsid w:val="7BA9561A"/>
    <w:rsid w:val="7BAA2B37"/>
    <w:rsid w:val="7BAB7079"/>
    <w:rsid w:val="7BB145C1"/>
    <w:rsid w:val="7BB2241E"/>
    <w:rsid w:val="7BB37F9E"/>
    <w:rsid w:val="7BC17EBE"/>
    <w:rsid w:val="7BC212EB"/>
    <w:rsid w:val="7BC43666"/>
    <w:rsid w:val="7BC8293C"/>
    <w:rsid w:val="7BC87053"/>
    <w:rsid w:val="7BD13894"/>
    <w:rsid w:val="7BDC009C"/>
    <w:rsid w:val="7BDE0174"/>
    <w:rsid w:val="7BDF18E6"/>
    <w:rsid w:val="7BE131F6"/>
    <w:rsid w:val="7BED4033"/>
    <w:rsid w:val="7BF11348"/>
    <w:rsid w:val="7BF542FE"/>
    <w:rsid w:val="7BF87AFF"/>
    <w:rsid w:val="7BFF0642"/>
    <w:rsid w:val="7C056E44"/>
    <w:rsid w:val="7C206952"/>
    <w:rsid w:val="7C2D1C60"/>
    <w:rsid w:val="7C3832F5"/>
    <w:rsid w:val="7C42281E"/>
    <w:rsid w:val="7C462DC9"/>
    <w:rsid w:val="7C472DAB"/>
    <w:rsid w:val="7C610C91"/>
    <w:rsid w:val="7C613AEC"/>
    <w:rsid w:val="7C6E37D7"/>
    <w:rsid w:val="7C6E7E2C"/>
    <w:rsid w:val="7C734075"/>
    <w:rsid w:val="7C773CA6"/>
    <w:rsid w:val="7C815D2A"/>
    <w:rsid w:val="7C831756"/>
    <w:rsid w:val="7C844AA6"/>
    <w:rsid w:val="7C8C4CAB"/>
    <w:rsid w:val="7C982736"/>
    <w:rsid w:val="7C9A2FA3"/>
    <w:rsid w:val="7C9E5A24"/>
    <w:rsid w:val="7CA3583F"/>
    <w:rsid w:val="7CA61736"/>
    <w:rsid w:val="7CA67728"/>
    <w:rsid w:val="7CB027DF"/>
    <w:rsid w:val="7CB5615D"/>
    <w:rsid w:val="7CB62523"/>
    <w:rsid w:val="7CB65ABC"/>
    <w:rsid w:val="7CCA0DF6"/>
    <w:rsid w:val="7CCA5583"/>
    <w:rsid w:val="7CD72F9B"/>
    <w:rsid w:val="7CDC7644"/>
    <w:rsid w:val="7CE146B6"/>
    <w:rsid w:val="7CE65C11"/>
    <w:rsid w:val="7CE70935"/>
    <w:rsid w:val="7CF84A31"/>
    <w:rsid w:val="7CFC44C2"/>
    <w:rsid w:val="7D000BCC"/>
    <w:rsid w:val="7D013B39"/>
    <w:rsid w:val="7D060FAD"/>
    <w:rsid w:val="7D0826CA"/>
    <w:rsid w:val="7D0D06E5"/>
    <w:rsid w:val="7D130509"/>
    <w:rsid w:val="7D1946C0"/>
    <w:rsid w:val="7D1D7FE9"/>
    <w:rsid w:val="7D292A41"/>
    <w:rsid w:val="7D2A5CCB"/>
    <w:rsid w:val="7D31141D"/>
    <w:rsid w:val="7D401CAA"/>
    <w:rsid w:val="7D4A383E"/>
    <w:rsid w:val="7D4E195B"/>
    <w:rsid w:val="7D515EFA"/>
    <w:rsid w:val="7D635C6D"/>
    <w:rsid w:val="7D64087E"/>
    <w:rsid w:val="7D69117D"/>
    <w:rsid w:val="7D696CB2"/>
    <w:rsid w:val="7D7A555A"/>
    <w:rsid w:val="7D7F5298"/>
    <w:rsid w:val="7D8362BA"/>
    <w:rsid w:val="7D8B7B11"/>
    <w:rsid w:val="7DA843EE"/>
    <w:rsid w:val="7DAB10BD"/>
    <w:rsid w:val="7DBF2E7A"/>
    <w:rsid w:val="7DCC7A63"/>
    <w:rsid w:val="7DD7657D"/>
    <w:rsid w:val="7DDA6C39"/>
    <w:rsid w:val="7DE15552"/>
    <w:rsid w:val="7DE16744"/>
    <w:rsid w:val="7DE67D99"/>
    <w:rsid w:val="7DEB2C44"/>
    <w:rsid w:val="7DF464FC"/>
    <w:rsid w:val="7DFE63E1"/>
    <w:rsid w:val="7E006A11"/>
    <w:rsid w:val="7E177624"/>
    <w:rsid w:val="7E1C55F3"/>
    <w:rsid w:val="7E202566"/>
    <w:rsid w:val="7E222965"/>
    <w:rsid w:val="7E2E7D3F"/>
    <w:rsid w:val="7E330B2F"/>
    <w:rsid w:val="7E347694"/>
    <w:rsid w:val="7E3B5911"/>
    <w:rsid w:val="7E495416"/>
    <w:rsid w:val="7E497873"/>
    <w:rsid w:val="7E4E6A22"/>
    <w:rsid w:val="7E570488"/>
    <w:rsid w:val="7E573082"/>
    <w:rsid w:val="7E593C4C"/>
    <w:rsid w:val="7E696028"/>
    <w:rsid w:val="7E712F31"/>
    <w:rsid w:val="7E750E81"/>
    <w:rsid w:val="7E760C9A"/>
    <w:rsid w:val="7E761EFC"/>
    <w:rsid w:val="7E9044A6"/>
    <w:rsid w:val="7E922E52"/>
    <w:rsid w:val="7E9B2155"/>
    <w:rsid w:val="7EA87297"/>
    <w:rsid w:val="7EAE1E9B"/>
    <w:rsid w:val="7EB27DEF"/>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624E9"/>
    <w:rsid w:val="7EFA4392"/>
    <w:rsid w:val="7F0043D8"/>
    <w:rsid w:val="7F057503"/>
    <w:rsid w:val="7F0715DA"/>
    <w:rsid w:val="7F085E6E"/>
    <w:rsid w:val="7F090A0E"/>
    <w:rsid w:val="7F0C0396"/>
    <w:rsid w:val="7F0F0634"/>
    <w:rsid w:val="7F111CB1"/>
    <w:rsid w:val="7F11316C"/>
    <w:rsid w:val="7F160CCE"/>
    <w:rsid w:val="7F18438A"/>
    <w:rsid w:val="7F2618F3"/>
    <w:rsid w:val="7F314300"/>
    <w:rsid w:val="7F35713F"/>
    <w:rsid w:val="7F3A44DE"/>
    <w:rsid w:val="7F3A7611"/>
    <w:rsid w:val="7F3B01C9"/>
    <w:rsid w:val="7F4A17F6"/>
    <w:rsid w:val="7F4C09ED"/>
    <w:rsid w:val="7F536DE1"/>
    <w:rsid w:val="7F6339F7"/>
    <w:rsid w:val="7F694065"/>
    <w:rsid w:val="7F74788A"/>
    <w:rsid w:val="7F8660CD"/>
    <w:rsid w:val="7F8A2E2C"/>
    <w:rsid w:val="7F963419"/>
    <w:rsid w:val="7F98528E"/>
    <w:rsid w:val="7FA069EC"/>
    <w:rsid w:val="7FBB6CE2"/>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3"/>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7"/>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77"/>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8"/>
    <w:qFormat/>
    <w:uiPriority w:val="0"/>
    <w:pPr>
      <w:tabs>
        <w:tab w:val="left" w:pos="2144"/>
        <w:tab w:val="clear" w:pos="2000"/>
      </w:tabs>
      <w:ind w:left="2144" w:hanging="1008"/>
      <w:outlineLvl w:val="4"/>
    </w:pPr>
    <w:rPr>
      <w:sz w:val="22"/>
    </w:rPr>
  </w:style>
  <w:style w:type="paragraph" w:styleId="7">
    <w:name w:val="heading 6"/>
    <w:basedOn w:val="8"/>
    <w:next w:val="1"/>
    <w:link w:val="66"/>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2"/>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8"/>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0"/>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2"/>
    <w:qFormat/>
    <w:uiPriority w:val="0"/>
    <w:pPr>
      <w:widowControl/>
      <w:spacing w:before="152" w:after="160"/>
    </w:pPr>
    <w:rPr>
      <w:rFonts w:ascii="Arial" w:hAnsi="Arial" w:eastAsia="黑体"/>
      <w:kern w:val="0"/>
      <w:sz w:val="20"/>
      <w:szCs w:val="20"/>
    </w:rPr>
  </w:style>
  <w:style w:type="paragraph" w:styleId="13">
    <w:name w:val="Document Map"/>
    <w:basedOn w:val="1"/>
    <w:link w:val="81"/>
    <w:unhideWhenUsed/>
    <w:qFormat/>
    <w:uiPriority w:val="99"/>
    <w:rPr>
      <w:rFonts w:ascii="宋体"/>
      <w:kern w:val="0"/>
      <w:sz w:val="18"/>
      <w:szCs w:val="18"/>
    </w:rPr>
  </w:style>
  <w:style w:type="paragraph" w:styleId="14">
    <w:name w:val="annotation text"/>
    <w:basedOn w:val="1"/>
    <w:link w:val="90"/>
    <w:unhideWhenUsed/>
    <w:qFormat/>
    <w:uiPriority w:val="99"/>
    <w:rPr>
      <w:sz w:val="20"/>
      <w:szCs w:val="20"/>
    </w:rPr>
  </w:style>
  <w:style w:type="paragraph" w:styleId="15">
    <w:name w:val="Body Text"/>
    <w:basedOn w:val="1"/>
    <w:link w:val="75"/>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99"/>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78"/>
    <w:unhideWhenUsed/>
    <w:qFormat/>
    <w:uiPriority w:val="99"/>
    <w:rPr>
      <w:sz w:val="18"/>
      <w:szCs w:val="18"/>
    </w:rPr>
  </w:style>
  <w:style w:type="paragraph" w:styleId="19">
    <w:name w:val="footer"/>
    <w:basedOn w:val="20"/>
    <w:link w:val="84"/>
    <w:unhideWhenUsed/>
    <w:qFormat/>
    <w:uiPriority w:val="99"/>
    <w:pPr>
      <w:tabs>
        <w:tab w:val="center" w:pos="4153"/>
        <w:tab w:val="right" w:pos="8306"/>
      </w:tabs>
      <w:jc w:val="left"/>
    </w:pPr>
  </w:style>
  <w:style w:type="paragraph" w:styleId="20">
    <w:name w:val="header"/>
    <w:basedOn w:val="1"/>
    <w:link w:val="80"/>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5"/>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0"/>
    <w:rPr>
      <w:rFonts w:ascii="Calibri" w:hAnsi="Calibri" w:eastAsia="宋体" w:cs="Calibri"/>
      <w:bCs/>
      <w:sz w:val="24"/>
    </w:rPr>
  </w:style>
  <w:style w:type="character" w:styleId="29">
    <w:name w:val="Emphasis"/>
    <w:qFormat/>
    <w:uiPriority w:val="20"/>
    <w:rPr>
      <w:color w:val="CC0000"/>
    </w:rPr>
  </w:style>
  <w:style w:type="character" w:styleId="30">
    <w:name w:val="Hyperlink"/>
    <w:qFormat/>
    <w:uiPriority w:val="0"/>
    <w:rPr>
      <w:color w:val="0000FF"/>
      <w:u w:val="single"/>
    </w:rPr>
  </w:style>
  <w:style w:type="character" w:styleId="31">
    <w:name w:val="annotation reference"/>
    <w:unhideWhenUsed/>
    <w:qFormat/>
    <w:uiPriority w:val="99"/>
    <w:rPr>
      <w:sz w:val="16"/>
      <w:szCs w:val="16"/>
    </w:rPr>
  </w:style>
  <w:style w:type="character" w:styleId="32">
    <w:name w:val="HTML Cite"/>
    <w:unhideWhenUsed/>
    <w:qFormat/>
    <w:uiPriority w:val="99"/>
    <w:rPr>
      <w:color w:val="008000"/>
    </w:rPr>
  </w:style>
  <w:style w:type="paragraph" w:customStyle="1" w:styleId="33">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4">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5">
    <w:name w:val="List Paragraph"/>
    <w:basedOn w:val="1"/>
    <w:qFormat/>
    <w:uiPriority w:val="34"/>
    <w:pPr>
      <w:ind w:firstLine="420" w:firstLineChars="200"/>
    </w:pPr>
  </w:style>
  <w:style w:type="paragraph" w:customStyle="1" w:styleId="36">
    <w:name w:val="TAH"/>
    <w:basedOn w:val="37"/>
    <w:link w:val="61"/>
    <w:qFormat/>
    <w:uiPriority w:val="99"/>
    <w:rPr>
      <w:b/>
    </w:rPr>
  </w:style>
  <w:style w:type="paragraph" w:customStyle="1" w:styleId="37">
    <w:name w:val="TAC"/>
    <w:basedOn w:val="38"/>
    <w:link w:val="76"/>
    <w:qFormat/>
    <w:uiPriority w:val="0"/>
    <w:pPr>
      <w:jc w:val="center"/>
    </w:pPr>
    <w:rPr>
      <w:rFonts w:eastAsia="Times New Roman"/>
      <w:lang w:eastAsia="ja-JP"/>
    </w:rPr>
  </w:style>
  <w:style w:type="paragraph" w:customStyle="1" w:styleId="38">
    <w:name w:val="TAL"/>
    <w:basedOn w:val="1"/>
    <w:link w:val="65"/>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9">
    <w:name w:val="正文1"/>
    <w:basedOn w:val="1"/>
    <w:link w:val="62"/>
    <w:qFormat/>
    <w:uiPriority w:val="0"/>
    <w:pPr>
      <w:adjustRightInd w:val="0"/>
      <w:spacing w:after="180"/>
    </w:pPr>
    <w:rPr>
      <w:kern w:val="0"/>
      <w:sz w:val="20"/>
      <w:szCs w:val="20"/>
    </w:rPr>
  </w:style>
  <w:style w:type="paragraph" w:customStyle="1" w:styleId="40">
    <w:name w:val="char char char"/>
    <w:basedOn w:val="39"/>
    <w:link w:val="79"/>
    <w:qFormat/>
    <w:uiPriority w:val="0"/>
    <w:pPr>
      <w:keepNext/>
      <w:keepLines/>
      <w:widowControl/>
      <w:spacing w:before="120"/>
      <w:ind w:firstLine="40"/>
      <w:outlineLvl w:val="2"/>
    </w:pPr>
    <w:rPr>
      <w:rFonts w:ascii="Arial" w:hAnsi="Arial"/>
      <w:sz w:val="24"/>
      <w:szCs w:val="28"/>
    </w:rPr>
  </w:style>
  <w:style w:type="paragraph" w:customStyle="1" w:styleId="41">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2">
    <w:name w:val="NO"/>
    <w:basedOn w:val="1"/>
    <w:link w:val="60"/>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4">
    <w:name w:val="EQ"/>
    <w:basedOn w:val="1"/>
    <w:next w:val="1"/>
    <w:qFormat/>
    <w:uiPriority w:val="0"/>
    <w:pPr>
      <w:keepLines/>
      <w:tabs>
        <w:tab w:val="center" w:pos="4536"/>
        <w:tab w:val="right" w:pos="9072"/>
      </w:tabs>
    </w:pPr>
  </w:style>
  <w:style w:type="paragraph" w:customStyle="1" w:styleId="45">
    <w:name w:val="Table_title"/>
    <w:basedOn w:val="1"/>
    <w:next w:val="33"/>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6">
    <w:name w:val="TH"/>
    <w:basedOn w:val="1"/>
    <w:link w:val="74"/>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7">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8">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9">
    <w:name w:val="TAN"/>
    <w:basedOn w:val="38"/>
    <w:link w:val="58"/>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0">
    <w:name w:val="TF"/>
    <w:basedOn w:val="46"/>
    <w:qFormat/>
    <w:uiPriority w:val="0"/>
    <w:pPr>
      <w:keepNext w:val="0"/>
      <w:spacing w:before="0" w:after="240"/>
    </w:pPr>
  </w:style>
  <w:style w:type="paragraph" w:customStyle="1" w:styleId="51">
    <w:name w:val="B1"/>
    <w:basedOn w:val="17"/>
    <w:link w:val="57"/>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2">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3">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4">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5">
    <w:name w:val="char char"/>
    <w:basedOn w:val="39"/>
    <w:link w:val="71"/>
    <w:qFormat/>
    <w:uiPriority w:val="0"/>
    <w:pPr>
      <w:spacing w:before="180" w:after="120"/>
      <w:outlineLvl w:val="1"/>
    </w:pPr>
    <w:rPr>
      <w:rFonts w:ascii="Arial" w:hAnsi="Arial"/>
      <w:sz w:val="28"/>
      <w:szCs w:val="32"/>
    </w:rPr>
  </w:style>
  <w:style w:type="paragraph" w:customStyle="1" w:styleId="56">
    <w:name w:val="Char"/>
    <w:basedOn w:val="35"/>
    <w:link w:val="73"/>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7">
    <w:name w:val="B1 Char"/>
    <w:link w:val="51"/>
    <w:qFormat/>
    <w:uiPriority w:val="0"/>
    <w:rPr>
      <w:rFonts w:ascii="Times New Roman" w:hAnsi="Times New Roman" w:eastAsia="MS Mincho"/>
      <w:lang w:val="en-GB" w:eastAsia="de-DE"/>
    </w:rPr>
  </w:style>
  <w:style w:type="character" w:customStyle="1" w:styleId="58">
    <w:name w:val="TAN Char"/>
    <w:link w:val="49"/>
    <w:qFormat/>
    <w:uiPriority w:val="0"/>
    <w:rPr>
      <w:rFonts w:ascii="Arial" w:hAnsi="Arial" w:eastAsia="宋体"/>
      <w:sz w:val="18"/>
      <w:szCs w:val="18"/>
      <w:lang w:val="en-GB"/>
    </w:rPr>
  </w:style>
  <w:style w:type="character" w:customStyle="1" w:styleId="59">
    <w:name w:val="默认段落字体1"/>
    <w:qFormat/>
    <w:uiPriority w:val="0"/>
  </w:style>
  <w:style w:type="character" w:customStyle="1" w:styleId="60">
    <w:name w:val="NO Char"/>
    <w:link w:val="42"/>
    <w:qFormat/>
    <w:uiPriority w:val="0"/>
    <w:rPr>
      <w:rFonts w:ascii="Times New Roman" w:hAnsi="Times New Roman" w:eastAsia="Times New Roman"/>
      <w:lang w:val="en-GB"/>
    </w:rPr>
  </w:style>
  <w:style w:type="character" w:customStyle="1" w:styleId="61">
    <w:name w:val="TAH Car"/>
    <w:link w:val="36"/>
    <w:qFormat/>
    <w:uiPriority w:val="99"/>
    <w:rPr>
      <w:rFonts w:ascii="Arial" w:hAnsi="Arial" w:eastAsia="Times New Roman" w:cs="Times New Roman"/>
      <w:b/>
      <w:kern w:val="0"/>
      <w:sz w:val="18"/>
      <w:szCs w:val="20"/>
      <w:lang w:val="en-GB" w:eastAsia="ja-JP"/>
    </w:rPr>
  </w:style>
  <w:style w:type="character" w:customStyle="1" w:styleId="62">
    <w:name w:val="正文1 Char"/>
    <w:link w:val="39"/>
    <w:qFormat/>
    <w:uiPriority w:val="0"/>
    <w:rPr>
      <w:rFonts w:ascii="Times New Roman" w:hAnsi="Times New Roman" w:eastAsia="宋体" w:cs="Times New Roman"/>
      <w:kern w:val="0"/>
      <w:sz w:val="20"/>
      <w:szCs w:val="20"/>
    </w:rPr>
  </w:style>
  <w:style w:type="character" w:customStyle="1" w:styleId="63">
    <w:name w:val="keyword"/>
    <w:basedOn w:val="27"/>
    <w:qFormat/>
    <w:uiPriority w:val="0"/>
  </w:style>
  <w:style w:type="character" w:customStyle="1" w:styleId="64">
    <w:name w:val="c-icon"/>
    <w:basedOn w:val="27"/>
    <w:qFormat/>
    <w:uiPriority w:val="0"/>
  </w:style>
  <w:style w:type="character" w:customStyle="1" w:styleId="65">
    <w:name w:val="TAL Char"/>
    <w:link w:val="38"/>
    <w:qFormat/>
    <w:uiPriority w:val="0"/>
    <w:rPr>
      <w:rFonts w:ascii="Arial" w:hAnsi="Arial"/>
      <w:sz w:val="18"/>
      <w:lang w:val="en-GB" w:eastAsia="en-US"/>
    </w:rPr>
  </w:style>
  <w:style w:type="character" w:customStyle="1" w:styleId="66">
    <w:name w:val="Heading 6 Char"/>
    <w:link w:val="7"/>
    <w:qFormat/>
    <w:uiPriority w:val="0"/>
    <w:rPr>
      <w:rFonts w:ascii="Arial" w:hAnsi="Arial" w:eastAsia="宋体"/>
      <w:lang w:val="en-GB" w:eastAsia="en-US"/>
    </w:rPr>
  </w:style>
  <w:style w:type="character" w:customStyle="1" w:styleId="67">
    <w:name w:val="c-icon14"/>
    <w:basedOn w:val="27"/>
    <w:qFormat/>
    <w:uiPriority w:val="0"/>
  </w:style>
  <w:style w:type="character" w:customStyle="1" w:styleId="68">
    <w:name w:val="Heading 8 Char"/>
    <w:link w:val="10"/>
    <w:qFormat/>
    <w:uiPriority w:val="0"/>
    <w:rPr>
      <w:rFonts w:ascii="Arial" w:hAnsi="Arial" w:eastAsia="宋体"/>
      <w:sz w:val="36"/>
      <w:lang w:val="en-GB" w:eastAsia="en-US"/>
    </w:rPr>
  </w:style>
  <w:style w:type="character" w:customStyle="1" w:styleId="69">
    <w:name w:val="op_dict_text2"/>
    <w:basedOn w:val="27"/>
    <w:qFormat/>
    <w:uiPriority w:val="0"/>
  </w:style>
  <w:style w:type="character" w:customStyle="1" w:styleId="70">
    <w:name w:val="Heading 9 Char"/>
    <w:link w:val="11"/>
    <w:qFormat/>
    <w:uiPriority w:val="0"/>
    <w:rPr>
      <w:rFonts w:ascii="Arial" w:hAnsi="Arial" w:eastAsia="宋体"/>
      <w:sz w:val="36"/>
      <w:lang w:val="en-GB" w:eastAsia="en-US"/>
    </w:rPr>
  </w:style>
  <w:style w:type="character" w:customStyle="1" w:styleId="71">
    <w:name w:val="char char Char"/>
    <w:link w:val="55"/>
    <w:qFormat/>
    <w:uiPriority w:val="0"/>
    <w:rPr>
      <w:rFonts w:ascii="Arial" w:hAnsi="Arial" w:eastAsia="宋体" w:cs="Times New Roman"/>
      <w:kern w:val="0"/>
      <w:sz w:val="28"/>
      <w:szCs w:val="32"/>
    </w:rPr>
  </w:style>
  <w:style w:type="character" w:customStyle="1" w:styleId="72">
    <w:name w:val="Caption Char"/>
    <w:link w:val="12"/>
    <w:qFormat/>
    <w:uiPriority w:val="0"/>
    <w:rPr>
      <w:rFonts w:ascii="Arial" w:hAnsi="Arial" w:eastAsia="黑体"/>
    </w:rPr>
  </w:style>
  <w:style w:type="character" w:customStyle="1" w:styleId="73">
    <w:name w:val="Char Char"/>
    <w:link w:val="56"/>
    <w:qFormat/>
    <w:uiPriority w:val="0"/>
    <w:rPr>
      <w:rFonts w:ascii="Arial" w:hAnsi="Arial"/>
      <w:sz w:val="32"/>
      <w:szCs w:val="36"/>
    </w:rPr>
  </w:style>
  <w:style w:type="character" w:customStyle="1" w:styleId="74">
    <w:name w:val="TH Char"/>
    <w:link w:val="46"/>
    <w:qFormat/>
    <w:uiPriority w:val="0"/>
    <w:rPr>
      <w:rFonts w:ascii="Arial" w:hAnsi="Arial" w:eastAsia="宋体"/>
      <w:b/>
      <w:bCs/>
      <w:lang w:val="en-GB"/>
    </w:rPr>
  </w:style>
  <w:style w:type="character" w:customStyle="1" w:styleId="75">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6">
    <w:name w:val="TAC Char"/>
    <w:basedOn w:val="27"/>
    <w:link w:val="37"/>
    <w:qFormat/>
    <w:uiPriority w:val="0"/>
    <w:rPr>
      <w:rFonts w:ascii="Arial" w:hAnsi="Arial" w:eastAsia="Times New Roman" w:cs="Times New Roman"/>
      <w:kern w:val="0"/>
      <w:sz w:val="18"/>
      <w:szCs w:val="20"/>
      <w:lang w:val="en-GB" w:eastAsia="ja-JP"/>
    </w:rPr>
  </w:style>
  <w:style w:type="character" w:customStyle="1" w:styleId="77">
    <w:name w:val="Heading 4 Char"/>
    <w:link w:val="5"/>
    <w:qFormat/>
    <w:uiPriority w:val="0"/>
    <w:rPr>
      <w:rFonts w:ascii="Arial" w:hAnsi="Arial" w:eastAsia="宋体"/>
      <w:sz w:val="24"/>
      <w:lang w:val="en-GB" w:eastAsia="en-US"/>
    </w:rPr>
  </w:style>
  <w:style w:type="character" w:customStyle="1" w:styleId="78">
    <w:name w:val="Balloon Text Char"/>
    <w:link w:val="18"/>
    <w:semiHidden/>
    <w:qFormat/>
    <w:uiPriority w:val="99"/>
    <w:rPr>
      <w:kern w:val="2"/>
      <w:sz w:val="18"/>
      <w:szCs w:val="18"/>
    </w:rPr>
  </w:style>
  <w:style w:type="character" w:customStyle="1" w:styleId="79">
    <w:name w:val="char char char Char"/>
    <w:link w:val="40"/>
    <w:qFormat/>
    <w:uiPriority w:val="0"/>
    <w:rPr>
      <w:rFonts w:ascii="Arial" w:hAnsi="Arial" w:eastAsia="宋体" w:cs="Times New Roman"/>
      <w:kern w:val="0"/>
      <w:sz w:val="24"/>
      <w:szCs w:val="28"/>
    </w:rPr>
  </w:style>
  <w:style w:type="character" w:customStyle="1" w:styleId="80">
    <w:name w:val="Header Char"/>
    <w:link w:val="20"/>
    <w:qFormat/>
    <w:uiPriority w:val="99"/>
    <w:rPr>
      <w:sz w:val="18"/>
      <w:szCs w:val="18"/>
    </w:rPr>
  </w:style>
  <w:style w:type="character" w:customStyle="1" w:styleId="81">
    <w:name w:val="Document Map Char"/>
    <w:link w:val="13"/>
    <w:semiHidden/>
    <w:qFormat/>
    <w:uiPriority w:val="99"/>
    <w:rPr>
      <w:rFonts w:ascii="宋体" w:eastAsia="宋体"/>
      <w:sz w:val="18"/>
      <w:szCs w:val="18"/>
    </w:rPr>
  </w:style>
  <w:style w:type="character" w:customStyle="1" w:styleId="82">
    <w:name w:val="Heading 7 Char"/>
    <w:link w:val="9"/>
    <w:qFormat/>
    <w:uiPriority w:val="0"/>
    <w:rPr>
      <w:rFonts w:ascii="Arial" w:hAnsi="Arial" w:eastAsia="宋体"/>
      <w:lang w:val="en-GB" w:eastAsia="en-US"/>
    </w:rPr>
  </w:style>
  <w:style w:type="character" w:customStyle="1" w:styleId="83">
    <w:name w:val="Heading 1 Char"/>
    <w:link w:val="2"/>
    <w:qFormat/>
    <w:uiPriority w:val="9"/>
    <w:rPr>
      <w:rFonts w:ascii="Cambria" w:hAnsi="Cambria" w:eastAsia="宋体" w:cs="Times New Roman"/>
      <w:b/>
      <w:bCs/>
      <w:kern w:val="32"/>
      <w:sz w:val="32"/>
      <w:szCs w:val="32"/>
      <w:lang w:val="en-US"/>
    </w:rPr>
  </w:style>
  <w:style w:type="character" w:customStyle="1" w:styleId="84">
    <w:name w:val="Footer Char"/>
    <w:link w:val="19"/>
    <w:qFormat/>
    <w:uiPriority w:val="99"/>
    <w:rPr>
      <w:sz w:val="18"/>
      <w:szCs w:val="18"/>
    </w:rPr>
  </w:style>
  <w:style w:type="character" w:customStyle="1" w:styleId="85">
    <w:name w:val="Comment Subject Char"/>
    <w:link w:val="24"/>
    <w:semiHidden/>
    <w:qFormat/>
    <w:uiPriority w:val="99"/>
    <w:rPr>
      <w:b/>
      <w:bCs/>
      <w:kern w:val="2"/>
      <w:lang w:eastAsia="zh-CN"/>
    </w:rPr>
  </w:style>
  <w:style w:type="character" w:customStyle="1" w:styleId="86">
    <w:name w:val="msoins"/>
    <w:basedOn w:val="27"/>
    <w:qFormat/>
    <w:uiPriority w:val="0"/>
  </w:style>
  <w:style w:type="character" w:customStyle="1" w:styleId="87">
    <w:name w:val="Heading 2 Char"/>
    <w:link w:val="3"/>
    <w:qFormat/>
    <w:uiPriority w:val="0"/>
    <w:rPr>
      <w:rFonts w:ascii="Arial" w:hAnsi="Arial"/>
      <w:sz w:val="32"/>
      <w:lang w:eastAsia="en-US"/>
    </w:rPr>
  </w:style>
  <w:style w:type="character" w:customStyle="1" w:styleId="88">
    <w:name w:val="Heading 5 Char"/>
    <w:link w:val="6"/>
    <w:qFormat/>
    <w:uiPriority w:val="0"/>
    <w:rPr>
      <w:rFonts w:ascii="Arial" w:hAnsi="Arial" w:eastAsia="宋体"/>
      <w:sz w:val="22"/>
      <w:lang w:val="en-GB" w:eastAsia="en-US"/>
    </w:rPr>
  </w:style>
  <w:style w:type="character" w:customStyle="1" w:styleId="89">
    <w:name w:val="Heading 3 Char"/>
    <w:link w:val="4"/>
    <w:qFormat/>
    <w:uiPriority w:val="0"/>
    <w:rPr>
      <w:rFonts w:ascii="Arial" w:hAnsi="Arial"/>
      <w:sz w:val="28"/>
      <w:lang w:eastAsia="en-US"/>
    </w:rPr>
  </w:style>
  <w:style w:type="character" w:customStyle="1" w:styleId="90">
    <w:name w:val="Comment Text Char"/>
    <w:link w:val="14"/>
    <w:semiHidden/>
    <w:qFormat/>
    <w:uiPriority w:val="99"/>
    <w:rPr>
      <w:kern w:val="2"/>
      <w:lang w:eastAsia="zh-CN"/>
    </w:rPr>
  </w:style>
  <w:style w:type="character" w:customStyle="1" w:styleId="91">
    <w:name w:val="op_dict3_lineone_result_tip"/>
    <w:qFormat/>
    <w:uiPriority w:val="0"/>
    <w:rPr>
      <w:color w:val="999999"/>
    </w:rPr>
  </w:style>
  <w:style w:type="character" w:styleId="92">
    <w:name w:val="Placeholder Text"/>
    <w:basedOn w:val="27"/>
    <w:semiHidden/>
    <w:qFormat/>
    <w:uiPriority w:val="99"/>
    <w:rPr>
      <w:color w:val="808080"/>
    </w:rPr>
  </w:style>
  <w:style w:type="paragraph" w:customStyle="1" w:styleId="93">
    <w:name w:val="3GPP Normal Text"/>
    <w:basedOn w:val="15"/>
    <w:qFormat/>
    <w:uiPriority w:val="0"/>
    <w:pPr>
      <w:spacing w:after="120"/>
      <w:ind w:left="1440" w:hanging="1440"/>
      <w:jc w:val="both"/>
    </w:pPr>
    <w:rPr>
      <w:rFonts w:eastAsia="MS Mincho"/>
      <w:sz w:val="22"/>
      <w:szCs w:val="24"/>
    </w:rPr>
  </w:style>
  <w:style w:type="paragraph" w:customStyle="1" w:styleId="94">
    <w:name w:val="CR Cover Page"/>
    <w:qFormat/>
    <w:uiPriority w:val="0"/>
    <w:pPr>
      <w:spacing w:after="120"/>
    </w:pPr>
    <w:rPr>
      <w:rFonts w:ascii="Arial" w:hAnsi="Arial" w:eastAsia="Times New Roman" w:cs="Times New Roman"/>
      <w:lang w:val="en-GB" w:eastAsia="en-US" w:bidi="ar-SA"/>
    </w:rPr>
  </w:style>
  <w:style w:type="character" w:customStyle="1" w:styleId="95">
    <w:name w:val="eop"/>
    <w:basedOn w:val="27"/>
    <w:qFormat/>
    <w:uiPriority w:val="0"/>
  </w:style>
  <w:style w:type="paragraph" w:customStyle="1" w:styleId="96">
    <w:name w:val="TAR"/>
    <w:basedOn w:val="38"/>
    <w:qFormat/>
    <w:uiPriority w:val="0"/>
    <w:pPr>
      <w:jc w:val="right"/>
    </w:pPr>
  </w:style>
  <w:style w:type="paragraph" w:customStyle="1" w:styleId="97">
    <w:name w:val="B2"/>
    <w:basedOn w:val="16"/>
    <w:qFormat/>
    <w:uiPriority w:val="0"/>
    <w:pPr>
      <w:ind w:left="851" w:hanging="284"/>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5</TotalTime>
  <ScaleCrop>false</ScaleCrop>
  <LinksUpToDate>false</LinksUpToDate>
  <CharactersWithSpaces>5088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Wei Lin</cp:lastModifiedBy>
  <dcterms:modified xsi:type="dcterms:W3CDTF">2023-05-15T11:45:47Z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1221D690A1144CAE8E804A1502F4336C</vt:lpwstr>
  </property>
</Properties>
</file>